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lang w:eastAsia="zh-CN"/>
        </w:rPr>
        <w:t>福建省女子监狱</w:t>
      </w:r>
      <w:r>
        <w:rPr>
          <w:rFonts w:hint="eastAsia" w:ascii="宋体" w:hAnsi="宋体"/>
          <w:b/>
          <w:sz w:val="72"/>
          <w:szCs w:val="72"/>
          <w:highlight w:val="none"/>
        </w:rPr>
        <w:t xml:space="preserve"> </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FJKZB-6113122023</w:t>
      </w:r>
    </w:p>
    <w:p>
      <w:pPr>
        <w:pStyle w:val="11"/>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直饮水机维保服务项目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采购人：</w:t>
      </w:r>
      <w:r>
        <w:rPr>
          <w:rFonts w:hint="eastAsia" w:hAnsi="宋体"/>
          <w:b/>
          <w:sz w:val="32"/>
          <w:szCs w:val="32"/>
          <w:highlight w:val="none"/>
          <w:lang w:eastAsia="zh-CN"/>
        </w:rPr>
        <w:t>福建省女子监狱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5"/>
        <w:rPr>
          <w:rFonts w:hint="default"/>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十二</w:t>
      </w:r>
      <w:r>
        <w:rPr>
          <w:rFonts w:hint="eastAsia" w:ascii="宋体" w:hAnsi="宋体"/>
          <w:b/>
          <w:sz w:val="32"/>
          <w:szCs w:val="32"/>
          <w:highlight w:val="none"/>
        </w:rPr>
        <w:t>月</w:t>
      </w:r>
    </w:p>
    <w:p>
      <w:pPr>
        <w:pStyle w:val="9"/>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lang w:eastAsia="zh-CN"/>
        </w:rPr>
        <w:t>福建省女子监狱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直饮水机维保服务项目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b/>
          <w:bCs/>
          <w:kern w:val="0"/>
          <w:sz w:val="24"/>
          <w:highlight w:val="none"/>
          <w:lang w:eastAsia="zh-CN"/>
        </w:rPr>
        <w:t>FJKZB-6113122023</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直饮水机维保服务项目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报名开始时间：2023年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报名截止时间：2023年 </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27</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网上竞价开始时间：2023年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网上竞价截止时间：2023年 </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highlight w:val="none"/>
        </w:rPr>
      </w:pPr>
      <w:bookmarkStart w:id="0" w:name="_Toc21403"/>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w:t>
      </w:r>
      <w:r>
        <w:rPr>
          <w:rFonts w:hint="eastAsia" w:ascii="宋体" w:hAnsi="宋体"/>
          <w:color w:val="000000"/>
          <w:sz w:val="24"/>
          <w:highlight w:val="none"/>
        </w:rPr>
        <w:t>他组织</w:t>
      </w:r>
      <w:r>
        <w:rPr>
          <w:rFonts w:hint="eastAsia" w:ascii="新宋体" w:hAnsi="新宋体" w:eastAsia="新宋体"/>
          <w:sz w:val="24"/>
          <w:highlight w:val="none"/>
        </w:rPr>
        <w:t>均可能成为合格的供应商；</w:t>
      </w:r>
    </w:p>
    <w:p>
      <w:pPr>
        <w:pStyle w:val="27"/>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hd w:val="clear" w:color="auto" w:fill="FFFFFF"/>
        <w:spacing w:line="360" w:lineRule="auto"/>
        <w:ind w:firstLine="480" w:firstLineChars="200"/>
        <w:jc w:val="left"/>
        <w:rPr>
          <w:rStyle w:val="28"/>
          <w:highlight w:val="none"/>
        </w:rPr>
      </w:pPr>
      <w:r>
        <w:rPr>
          <w:rStyle w:val="28"/>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color w:val="000000"/>
          <w:sz w:val="24"/>
          <w:highlight w:val="none"/>
        </w:rPr>
        <w:t>6.网上竞价文件售价</w:t>
      </w:r>
    </w:p>
    <w:p>
      <w:pPr>
        <w:widowControl/>
        <w:spacing w:line="360" w:lineRule="auto"/>
        <w:ind w:firstLine="480" w:firstLineChars="200"/>
        <w:jc w:val="left"/>
        <w:rPr>
          <w:highlight w:val="none"/>
        </w:rPr>
      </w:pPr>
      <w:r>
        <w:rPr>
          <w:rFonts w:hint="eastAsia" w:ascii="宋体" w:hAnsi="宋体"/>
          <w:bCs/>
          <w:color w:val="000000"/>
          <w:sz w:val="24"/>
          <w:highlight w:val="none"/>
        </w:rPr>
        <w:t>网上竞价文件售价0元</w:t>
      </w:r>
      <w:r>
        <w:rPr>
          <w:rFonts w:hint="eastAsia" w:ascii="宋体" w:hAnsi="宋体"/>
          <w:bCs/>
          <w:sz w:val="24"/>
          <w:highlight w:val="none"/>
        </w:rPr>
        <w:t>，在报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w:t>
      </w:r>
      <w:r>
        <w:rPr>
          <w:rFonts w:hint="eastAsia" w:ascii="宋体" w:hAnsi="宋体" w:cs="宋体"/>
          <w:sz w:val="24"/>
          <w:highlight w:val="none"/>
          <w:lang w:val="en-US" w:eastAsia="zh-CN"/>
        </w:rPr>
        <w:t>1030</w:t>
      </w:r>
      <w:r>
        <w:rPr>
          <w:rFonts w:hint="eastAsia" w:ascii="宋体" w:hAnsi="宋体" w:cs="宋体"/>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9.代理服务费：按成交金额的差额定率累进法计算后，</w:t>
      </w:r>
      <w:r>
        <w:rPr>
          <w:rFonts w:hint="eastAsia" w:ascii="宋体" w:hAnsi="宋体" w:cs="宋体"/>
          <w:sz w:val="24"/>
          <w:highlight w:val="none"/>
          <w:lang w:eastAsia="zh-CN"/>
        </w:rPr>
        <w:t>成交供应商</w:t>
      </w:r>
      <w:r>
        <w:rPr>
          <w:rFonts w:hint="eastAsia" w:ascii="宋体" w:hAnsi="宋体" w:cs="宋体"/>
          <w:sz w:val="24"/>
          <w:highlight w:val="none"/>
        </w:rPr>
        <w:t>收取。</w:t>
      </w:r>
      <w:r>
        <w:rPr>
          <w:rFonts w:hint="eastAsia" w:ascii="宋体" w:hAnsi="宋体" w:cs="宋体"/>
          <w:sz w:val="24"/>
          <w:highlight w:val="none"/>
          <w:lang w:eastAsia="zh-CN"/>
        </w:rPr>
        <w:t>成交供应商</w:t>
      </w:r>
      <w:r>
        <w:rPr>
          <w:rFonts w:hint="eastAsia" w:ascii="宋体" w:hAnsi="宋体" w:cs="宋体"/>
          <w:sz w:val="24"/>
          <w:highlight w:val="none"/>
        </w:rPr>
        <w:t>应在领取成交通知书的同时以现金、</w:t>
      </w:r>
      <w:r>
        <w:rPr>
          <w:rFonts w:hint="eastAsia" w:ascii="宋体" w:hAnsi="宋体" w:cs="宋体"/>
          <w:sz w:val="24"/>
          <w:highlight w:val="none"/>
          <w:lang w:eastAsia="zh-CN"/>
        </w:rPr>
        <w:t>转账</w:t>
      </w:r>
      <w:r>
        <w:rPr>
          <w:rFonts w:hint="eastAsia" w:ascii="宋体" w:hAnsi="宋体" w:cs="宋体"/>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福建省女子监狱</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地  址：福州市闽侯县南屿镇新南大道156号</w:t>
      </w:r>
      <w:r>
        <w:rPr>
          <w:rFonts w:hint="eastAsia" w:asciiTheme="minorEastAsia" w:hAnsiTheme="minorEastAsia" w:eastAsiaTheme="minorEastAsia" w:cstheme="minorEastAsia"/>
          <w:sz w:val="24"/>
          <w:szCs w:val="24"/>
          <w:highlight w:val="none"/>
        </w:rPr>
        <w:t>　</w:t>
      </w:r>
    </w:p>
    <w:p>
      <w:pPr>
        <w:spacing w:line="360" w:lineRule="auto"/>
        <w:ind w:firstLine="480" w:firstLineChars="200"/>
        <w:rPr>
          <w:rFonts w:hint="default" w:ascii="宋体" w:hAnsi="宋体" w:cs="宋体"/>
          <w:sz w:val="24"/>
          <w:highlight w:val="none"/>
          <w:lang w:val="en-US" w:eastAsia="zh-CN"/>
        </w:rPr>
      </w:pPr>
      <w:r>
        <w:rPr>
          <w:rFonts w:hint="eastAsia" w:ascii="宋体" w:hAnsi="宋体"/>
          <w:sz w:val="24"/>
          <w:highlight w:val="none"/>
        </w:rPr>
        <w:t>联</w:t>
      </w:r>
      <w:r>
        <w:rPr>
          <w:rFonts w:hint="eastAsia" w:ascii="宋体" w:hAnsi="宋体" w:cs="宋体"/>
          <w:sz w:val="24"/>
          <w:highlight w:val="none"/>
        </w:rPr>
        <w:t>系人及电话：</w:t>
      </w:r>
      <w:r>
        <w:rPr>
          <w:rFonts w:hint="eastAsia" w:ascii="宋体" w:hAnsi="宋体" w:cs="宋体"/>
          <w:sz w:val="24"/>
          <w:highlight w:val="none"/>
          <w:lang w:eastAsia="zh-CN"/>
        </w:rPr>
        <w:t>翁</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0591-23506025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8"/>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19"/>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kern w:val="0"/>
          <w:sz w:val="24"/>
          <w:highlight w:val="none"/>
        </w:rPr>
      </w:pPr>
      <w:r>
        <w:rPr>
          <w:rStyle w:val="28"/>
          <w:rFonts w:hint="eastAsia" w:ascii="宋体" w:hAnsi="宋体"/>
          <w:b/>
          <w:bCs/>
          <w:kern w:val="0"/>
          <w:sz w:val="24"/>
          <w:highlight w:val="none"/>
        </w:rPr>
        <w:t>二、报名须知</w:t>
      </w:r>
    </w:p>
    <w:p>
      <w:pPr>
        <w:widowControl/>
        <w:spacing w:line="360" w:lineRule="auto"/>
        <w:ind w:firstLine="480" w:firstLineChars="200"/>
        <w:jc w:val="left"/>
        <w:rPr>
          <w:rStyle w:val="28"/>
          <w:rFonts w:ascii="宋体" w:hAnsi="宋体" w:cs="宋体"/>
          <w:kern w:val="0"/>
          <w:sz w:val="24"/>
          <w:highlight w:val="none"/>
        </w:rPr>
      </w:pPr>
      <w:r>
        <w:rPr>
          <w:rStyle w:val="28"/>
          <w:rFonts w:hint="eastAsia" w:ascii="宋体" w:hAnsi="宋体" w:cs="宋体"/>
          <w:kern w:val="0"/>
          <w:sz w:val="24"/>
          <w:highlight w:val="none"/>
        </w:rPr>
        <w:t>1.供应商应在网上竞价</w:t>
      </w:r>
      <w:r>
        <w:rPr>
          <w:rStyle w:val="28"/>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8"/>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4"/>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w:t>
      </w:r>
      <w:r>
        <w:rPr>
          <w:rStyle w:val="28"/>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28"/>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8"/>
          <w:rFonts w:ascii="Times New Roman" w:hAnsi="Times New Roman" w:cs="Times New Roman"/>
          <w:b/>
          <w:bCs/>
          <w:sz w:val="24"/>
          <w:highlight w:val="none"/>
        </w:rPr>
      </w:pPr>
      <w:r>
        <w:rPr>
          <w:rFonts w:hint="eastAsia"/>
          <w:highlight w:val="none"/>
        </w:rPr>
        <w:t>3.</w:t>
      </w:r>
      <w:r>
        <w:rPr>
          <w:rStyle w:val="28"/>
          <w:rFonts w:hint="eastAsia"/>
          <w:sz w:val="24"/>
          <w:highlight w:val="none"/>
        </w:rPr>
        <w:t>供应商提交的响应文件符合网上竞价文件要求的（即不存在网上竞价文件中规定的无效响应情形的）方可在网上竞价时间内参与竞价</w:t>
      </w:r>
      <w:r>
        <w:rPr>
          <w:rStyle w:val="28"/>
          <w:sz w:val="24"/>
          <w:highlight w:val="none"/>
        </w:rPr>
        <w:t>。</w:t>
      </w:r>
      <w:r>
        <w:rPr>
          <w:rStyle w:val="28"/>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8"/>
          <w:rFonts w:ascii="Times New Roman" w:hAnsi="Times New Roman" w:cs="Times New Roman"/>
          <w:highlight w:val="none"/>
        </w:rPr>
        <w:t>力</w:t>
      </w:r>
      <w:r>
        <w:rPr>
          <w:rStyle w:val="28"/>
          <w:rFonts w:hint="eastAsia" w:ascii="Times New Roman" w:hAnsi="Times New Roman" w:cs="Times New Roman"/>
          <w:sz w:val="24"/>
          <w:highlight w:val="none"/>
        </w:rPr>
        <w:t>。</w:t>
      </w:r>
      <w:r>
        <w:rPr>
          <w:rStyle w:val="28"/>
          <w:rFonts w:hint="eastAsia" w:ascii="Times New Roman" w:hAnsi="Times New Roman" w:cs="Times New Roman"/>
          <w:b/>
          <w:bCs/>
          <w:sz w:val="24"/>
          <w:highlight w:val="none"/>
        </w:rPr>
        <w:t>若合格供应商数量不足三家的（除“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Style w:val="28"/>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28"/>
          <w:rFonts w:hint="eastAsia" w:ascii="宋体" w:hAnsi="宋体"/>
          <w:b/>
          <w:bCs/>
          <w:kern w:val="0"/>
          <w:sz w:val="24"/>
          <w:highlight w:val="none"/>
        </w:rPr>
        <w:t>三、网上</w:t>
      </w:r>
      <w:r>
        <w:rPr>
          <w:rStyle w:val="28"/>
          <w:rFonts w:ascii="宋体" w:hAnsi="宋体"/>
          <w:b/>
          <w:bCs/>
          <w:kern w:val="0"/>
          <w:sz w:val="24"/>
          <w:highlight w:val="none"/>
        </w:rPr>
        <w:t>竞价规则</w:t>
      </w:r>
    </w:p>
    <w:p>
      <w:pPr>
        <w:pStyle w:val="16"/>
        <w:spacing w:before="75" w:beforeAutospacing="0" w:after="75" w:afterAutospacing="0" w:line="360" w:lineRule="auto"/>
        <w:ind w:firstLine="480"/>
        <w:rPr>
          <w:rStyle w:val="28"/>
          <w:kern w:val="0"/>
          <w:sz w:val="24"/>
          <w:highlight w:val="none"/>
        </w:rPr>
      </w:pPr>
      <w:r>
        <w:rPr>
          <w:rFonts w:hint="eastAsia"/>
          <w:highlight w:val="none"/>
        </w:rPr>
        <w:t>1.</w:t>
      </w:r>
      <w:r>
        <w:rPr>
          <w:rStyle w:val="28"/>
          <w:kern w:val="0"/>
          <w:sz w:val="24"/>
          <w:highlight w:val="none"/>
        </w:rPr>
        <w:t>网上竞价的报价时限为</w:t>
      </w:r>
      <w:r>
        <w:rPr>
          <w:rStyle w:val="28"/>
          <w:rFonts w:hint="eastAsia"/>
          <w:kern w:val="0"/>
          <w:sz w:val="24"/>
          <w:highlight w:val="none"/>
        </w:rPr>
        <w:t>网上竞价开始时间起至网上竞价截止时间止，在此期间内</w:t>
      </w:r>
      <w:r>
        <w:rPr>
          <w:rStyle w:val="28"/>
          <w:kern w:val="0"/>
          <w:sz w:val="24"/>
          <w:highlight w:val="none"/>
        </w:rPr>
        <w:t>，报名审核</w:t>
      </w:r>
      <w:r>
        <w:rPr>
          <w:rStyle w:val="28"/>
          <w:rFonts w:hint="eastAsia"/>
          <w:kern w:val="0"/>
          <w:sz w:val="24"/>
          <w:highlight w:val="none"/>
        </w:rPr>
        <w:t>通过</w:t>
      </w:r>
      <w:r>
        <w:rPr>
          <w:rStyle w:val="28"/>
          <w:kern w:val="0"/>
          <w:sz w:val="24"/>
          <w:highlight w:val="none"/>
        </w:rPr>
        <w:t>的</w:t>
      </w:r>
      <w:r>
        <w:rPr>
          <w:rStyle w:val="28"/>
          <w:rFonts w:hint="eastAsia"/>
          <w:kern w:val="0"/>
          <w:sz w:val="24"/>
          <w:highlight w:val="none"/>
        </w:rPr>
        <w:t>供应商</w:t>
      </w:r>
      <w:r>
        <w:rPr>
          <w:rStyle w:val="28"/>
          <w:kern w:val="0"/>
          <w:sz w:val="24"/>
          <w:highlight w:val="none"/>
        </w:rPr>
        <w:t>可通过</w:t>
      </w:r>
      <w:r>
        <w:rPr>
          <w:rStyle w:val="28"/>
          <w:rFonts w:hint="eastAsia"/>
          <w:kern w:val="0"/>
          <w:sz w:val="24"/>
          <w:highlight w:val="none"/>
        </w:rPr>
        <w:t>网上竞价平台</w:t>
      </w:r>
      <w:r>
        <w:rPr>
          <w:rStyle w:val="28"/>
          <w:kern w:val="0"/>
          <w:sz w:val="24"/>
          <w:highlight w:val="none"/>
        </w:rPr>
        <w:t>参与</w:t>
      </w:r>
      <w:r>
        <w:rPr>
          <w:rStyle w:val="28"/>
          <w:rFonts w:hint="eastAsia"/>
          <w:kern w:val="0"/>
          <w:sz w:val="24"/>
          <w:highlight w:val="none"/>
        </w:rPr>
        <w:t>网上</w:t>
      </w:r>
      <w:r>
        <w:rPr>
          <w:rStyle w:val="28"/>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8"/>
          <w:rFonts w:hint="eastAsia" w:ascii="Times New Roman" w:hAnsi="Times New Roman" w:cs="Times New Roman"/>
          <w:b/>
          <w:bCs/>
          <w:sz w:val="24"/>
          <w:highlight w:val="none"/>
        </w:rPr>
        <w:t>（除“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kern w:val="0"/>
          <w:sz w:val="24"/>
          <w:highlight w:val="none"/>
        </w:rPr>
      </w:pPr>
      <w:r>
        <w:rPr>
          <w:rStyle w:val="28"/>
          <w:rFonts w:hint="eastAsia" w:ascii="宋体" w:hAnsi="宋体"/>
          <w:kern w:val="0"/>
          <w:sz w:val="24"/>
          <w:highlight w:val="none"/>
        </w:rPr>
        <w:t>2.供应商</w:t>
      </w:r>
      <w:r>
        <w:rPr>
          <w:rStyle w:val="28"/>
          <w:rFonts w:ascii="宋体" w:hAnsi="宋体"/>
          <w:kern w:val="0"/>
          <w:sz w:val="24"/>
          <w:highlight w:val="none"/>
        </w:rPr>
        <w:t>首次提交的报价</w:t>
      </w:r>
      <w:r>
        <w:rPr>
          <w:rStyle w:val="28"/>
          <w:rFonts w:hint="eastAsia" w:ascii="宋体" w:hAnsi="宋体"/>
          <w:kern w:val="0"/>
          <w:sz w:val="24"/>
          <w:highlight w:val="none"/>
        </w:rPr>
        <w:t>总价</w:t>
      </w:r>
      <w:r>
        <w:rPr>
          <w:rStyle w:val="28"/>
          <w:rFonts w:ascii="宋体" w:hAnsi="宋体"/>
          <w:kern w:val="0"/>
          <w:sz w:val="24"/>
          <w:highlight w:val="none"/>
        </w:rPr>
        <w:t>须</w:t>
      </w:r>
      <w:r>
        <w:rPr>
          <w:rStyle w:val="28"/>
          <w:rFonts w:hint="eastAsia" w:ascii="宋体" w:hAnsi="宋体"/>
          <w:kern w:val="0"/>
          <w:sz w:val="24"/>
          <w:highlight w:val="none"/>
        </w:rPr>
        <w:t>低于</w:t>
      </w:r>
      <w:r>
        <w:rPr>
          <w:rStyle w:val="28"/>
          <w:rFonts w:ascii="宋体" w:hAnsi="宋体"/>
          <w:kern w:val="0"/>
          <w:sz w:val="24"/>
          <w:highlight w:val="none"/>
        </w:rPr>
        <w:t>本项目</w:t>
      </w:r>
      <w:r>
        <w:rPr>
          <w:rStyle w:val="28"/>
          <w:rFonts w:hint="eastAsia" w:ascii="宋体" w:hAnsi="宋体"/>
          <w:kern w:val="0"/>
          <w:sz w:val="24"/>
          <w:highlight w:val="none"/>
        </w:rPr>
        <w:t>总价</w:t>
      </w:r>
      <w:r>
        <w:rPr>
          <w:rStyle w:val="28"/>
          <w:rFonts w:ascii="宋体" w:hAnsi="宋体"/>
          <w:kern w:val="0"/>
          <w:sz w:val="24"/>
          <w:highlight w:val="none"/>
        </w:rPr>
        <w:t>最高限价</w:t>
      </w:r>
      <w:r>
        <w:rPr>
          <w:rStyle w:val="28"/>
          <w:rFonts w:hint="eastAsia" w:ascii="宋体" w:hAnsi="宋体"/>
          <w:kern w:val="0"/>
          <w:sz w:val="24"/>
          <w:highlight w:val="none"/>
        </w:rPr>
        <w:t>的</w:t>
      </w:r>
      <w:r>
        <w:rPr>
          <w:rStyle w:val="28"/>
          <w:rFonts w:ascii="宋体" w:hAnsi="宋体"/>
          <w:kern w:val="0"/>
          <w:sz w:val="24"/>
          <w:highlight w:val="none"/>
        </w:rPr>
        <w:t>3%</w:t>
      </w:r>
      <w:r>
        <w:rPr>
          <w:rStyle w:val="28"/>
          <w:rFonts w:hint="eastAsia" w:ascii="宋体" w:hAnsi="宋体"/>
          <w:kern w:val="0"/>
          <w:sz w:val="24"/>
          <w:highlight w:val="none"/>
        </w:rPr>
        <w:t>以上（不含</w:t>
      </w:r>
      <w:r>
        <w:rPr>
          <w:rStyle w:val="28"/>
          <w:rFonts w:ascii="宋体" w:hAnsi="宋体"/>
          <w:kern w:val="0"/>
          <w:sz w:val="24"/>
          <w:highlight w:val="none"/>
        </w:rPr>
        <w:t>3%</w:t>
      </w:r>
      <w:r>
        <w:rPr>
          <w:rStyle w:val="28"/>
          <w:rFonts w:hint="eastAsia" w:ascii="宋体" w:hAnsi="宋体"/>
          <w:kern w:val="0"/>
          <w:sz w:val="24"/>
          <w:highlight w:val="none"/>
        </w:rPr>
        <w:t>）</w:t>
      </w:r>
      <w:r>
        <w:rPr>
          <w:rStyle w:val="28"/>
          <w:rFonts w:ascii="宋体" w:hAnsi="宋体"/>
          <w:kern w:val="0"/>
          <w:sz w:val="24"/>
          <w:highlight w:val="none"/>
        </w:rPr>
        <w:t>，否则</w:t>
      </w:r>
      <w:r>
        <w:rPr>
          <w:rStyle w:val="28"/>
          <w:rFonts w:ascii="宋体" w:hAnsi="宋体" w:cs="宋体"/>
          <w:kern w:val="0"/>
          <w:sz w:val="24"/>
          <w:highlight w:val="none"/>
        </w:rPr>
        <w:t>视为无效报价</w:t>
      </w:r>
      <w:r>
        <w:rPr>
          <w:rStyle w:val="28"/>
          <w:rFonts w:ascii="宋体" w:hAnsi="宋体"/>
          <w:kern w:val="0"/>
          <w:sz w:val="24"/>
          <w:highlight w:val="none"/>
        </w:rPr>
        <w:t>。在</w:t>
      </w:r>
      <w:r>
        <w:rPr>
          <w:rStyle w:val="28"/>
          <w:rFonts w:hint="eastAsia" w:ascii="宋体" w:hAnsi="宋体"/>
          <w:kern w:val="0"/>
          <w:sz w:val="24"/>
          <w:highlight w:val="none"/>
        </w:rPr>
        <w:t>网上竞价时间</w:t>
      </w:r>
      <w:r>
        <w:rPr>
          <w:rStyle w:val="28"/>
          <w:rFonts w:ascii="宋体" w:hAnsi="宋体"/>
          <w:kern w:val="0"/>
          <w:sz w:val="24"/>
          <w:highlight w:val="none"/>
        </w:rPr>
        <w:t>内</w:t>
      </w:r>
      <w:r>
        <w:rPr>
          <w:rStyle w:val="28"/>
          <w:rFonts w:hint="eastAsia" w:ascii="宋体" w:hAnsi="宋体"/>
          <w:kern w:val="0"/>
          <w:sz w:val="24"/>
          <w:highlight w:val="none"/>
        </w:rPr>
        <w:t>、同一供应商有</w:t>
      </w:r>
      <w:r>
        <w:rPr>
          <w:rStyle w:val="28"/>
          <w:rFonts w:ascii="宋体" w:hAnsi="宋体"/>
          <w:kern w:val="0"/>
          <w:sz w:val="24"/>
          <w:highlight w:val="none"/>
        </w:rPr>
        <w:t>多次报价的</w:t>
      </w:r>
      <w:r>
        <w:rPr>
          <w:rStyle w:val="28"/>
          <w:rFonts w:hint="eastAsia" w:ascii="宋体" w:hAnsi="宋体"/>
          <w:kern w:val="0"/>
          <w:sz w:val="24"/>
          <w:highlight w:val="none"/>
        </w:rPr>
        <w:t>情况下</w:t>
      </w:r>
      <w:r>
        <w:rPr>
          <w:rStyle w:val="28"/>
          <w:rFonts w:ascii="宋体" w:hAnsi="宋体"/>
          <w:kern w:val="0"/>
          <w:sz w:val="24"/>
          <w:highlight w:val="none"/>
        </w:rPr>
        <w:t>，</w:t>
      </w:r>
      <w:r>
        <w:rPr>
          <w:rStyle w:val="28"/>
          <w:rFonts w:hint="eastAsia" w:ascii="宋体" w:hAnsi="宋体"/>
          <w:kern w:val="0"/>
          <w:sz w:val="24"/>
          <w:highlight w:val="none"/>
        </w:rPr>
        <w:t>则该供应商的每一次</w:t>
      </w:r>
      <w:r>
        <w:rPr>
          <w:rStyle w:val="28"/>
          <w:rFonts w:ascii="宋体" w:hAnsi="宋体"/>
          <w:kern w:val="0"/>
          <w:sz w:val="24"/>
          <w:highlight w:val="none"/>
        </w:rPr>
        <w:t>报价金额必须小于自己上一次的报价金额，</w:t>
      </w:r>
      <w:r>
        <w:rPr>
          <w:rStyle w:val="28"/>
          <w:rFonts w:hint="eastAsia" w:ascii="宋体" w:hAnsi="宋体"/>
          <w:kern w:val="0"/>
          <w:sz w:val="24"/>
          <w:highlight w:val="none"/>
        </w:rPr>
        <w:t>同时以该供应商</w:t>
      </w:r>
      <w:r>
        <w:rPr>
          <w:rStyle w:val="28"/>
          <w:rFonts w:ascii="宋体" w:hAnsi="宋体"/>
          <w:kern w:val="0"/>
          <w:sz w:val="24"/>
          <w:highlight w:val="none"/>
        </w:rPr>
        <w:t>提交的最后一次报价作为</w:t>
      </w:r>
      <w:r>
        <w:rPr>
          <w:rStyle w:val="28"/>
          <w:rFonts w:hint="eastAsia" w:ascii="宋体" w:hAnsi="宋体"/>
          <w:kern w:val="0"/>
          <w:sz w:val="24"/>
          <w:highlight w:val="none"/>
        </w:rPr>
        <w:t>其最终有效报价</w:t>
      </w:r>
      <w:r>
        <w:rPr>
          <w:rStyle w:val="28"/>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8"/>
          <w:rFonts w:ascii="宋体" w:hAnsi="宋体"/>
          <w:kern w:val="0"/>
          <w:sz w:val="24"/>
          <w:highlight w:val="none"/>
        </w:rPr>
      </w:pPr>
      <w:r>
        <w:rPr>
          <w:rFonts w:hint="eastAsia" w:ascii="宋体" w:hAnsi="宋体" w:cs="宋体"/>
          <w:sz w:val="24"/>
          <w:highlight w:val="none"/>
        </w:rPr>
        <w:t>1.</w:t>
      </w:r>
      <w:r>
        <w:rPr>
          <w:rStyle w:val="28"/>
          <w:rFonts w:hint="eastAsia" w:ascii="宋体" w:hAnsi="宋体"/>
          <w:kern w:val="0"/>
          <w:sz w:val="24"/>
          <w:highlight w:val="none"/>
        </w:rPr>
        <w:t>供应商</w:t>
      </w:r>
      <w:r>
        <w:rPr>
          <w:rStyle w:val="28"/>
          <w:rFonts w:ascii="宋体" w:hAnsi="宋体"/>
          <w:kern w:val="0"/>
          <w:sz w:val="24"/>
          <w:highlight w:val="none"/>
        </w:rPr>
        <w:t>在</w:t>
      </w:r>
      <w:r>
        <w:rPr>
          <w:rStyle w:val="28"/>
          <w:rFonts w:hint="eastAsia" w:ascii="宋体" w:hAnsi="宋体"/>
          <w:kern w:val="0"/>
          <w:sz w:val="24"/>
          <w:highlight w:val="none"/>
        </w:rPr>
        <w:t>完全满足网上竞价文件要求</w:t>
      </w:r>
      <w:r>
        <w:rPr>
          <w:rStyle w:val="28"/>
          <w:rFonts w:ascii="宋体" w:hAnsi="宋体"/>
          <w:kern w:val="0"/>
          <w:sz w:val="24"/>
          <w:highlight w:val="none"/>
        </w:rPr>
        <w:t>且报价有效的前提下，</w:t>
      </w:r>
      <w:r>
        <w:rPr>
          <w:rStyle w:val="28"/>
          <w:rFonts w:hint="eastAsia" w:ascii="宋体" w:hAnsi="宋体"/>
          <w:kern w:val="0"/>
          <w:sz w:val="24"/>
          <w:highlight w:val="none"/>
        </w:rPr>
        <w:t>最终有效报价</w:t>
      </w:r>
      <w:r>
        <w:rPr>
          <w:rStyle w:val="28"/>
          <w:rFonts w:ascii="宋体" w:hAnsi="宋体"/>
          <w:kern w:val="0"/>
          <w:sz w:val="24"/>
          <w:highlight w:val="none"/>
        </w:rPr>
        <w:t>最低者</w:t>
      </w:r>
      <w:r>
        <w:rPr>
          <w:rStyle w:val="28"/>
          <w:rFonts w:hint="eastAsia" w:ascii="宋体" w:hAnsi="宋体"/>
          <w:kern w:val="0"/>
          <w:sz w:val="24"/>
          <w:highlight w:val="none"/>
        </w:rPr>
        <w:t>为</w:t>
      </w:r>
      <w:r>
        <w:rPr>
          <w:rStyle w:val="28"/>
          <w:rFonts w:ascii="宋体" w:hAnsi="宋体"/>
          <w:kern w:val="0"/>
          <w:sz w:val="24"/>
          <w:highlight w:val="none"/>
        </w:rPr>
        <w:t>成交</w:t>
      </w:r>
      <w:r>
        <w:rPr>
          <w:rStyle w:val="28"/>
          <w:rFonts w:hint="eastAsia" w:ascii="宋体" w:hAnsi="宋体"/>
          <w:kern w:val="0"/>
          <w:sz w:val="24"/>
          <w:highlight w:val="none"/>
        </w:rPr>
        <w:t>候选人</w:t>
      </w:r>
      <w:r>
        <w:rPr>
          <w:rStyle w:val="28"/>
          <w:rFonts w:ascii="宋体" w:hAnsi="宋体"/>
          <w:kern w:val="0"/>
          <w:sz w:val="24"/>
          <w:highlight w:val="none"/>
        </w:rPr>
        <w:t>，若</w:t>
      </w:r>
      <w:r>
        <w:rPr>
          <w:rStyle w:val="28"/>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28"/>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28"/>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28"/>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5"/>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9317661"/>
      <w:bookmarkStart w:id="2" w:name="_Toc358016816"/>
      <w:bookmarkStart w:id="3" w:name="_Toc347060296"/>
      <w:bookmarkStart w:id="4" w:name="_Toc346300367"/>
      <w:bookmarkStart w:id="5" w:name="_Toc330567034"/>
      <w:bookmarkStart w:id="6" w:name="_Toc327948617"/>
      <w:r>
        <w:rPr>
          <w:rFonts w:hint="eastAsia" w:ascii="宋体" w:hAnsi="宋体" w:cs="宋体"/>
          <w:b/>
          <w:sz w:val="24"/>
          <w:highlight w:val="none"/>
        </w:rPr>
        <w:t>一、项目概述</w:t>
      </w:r>
      <w:bookmarkEnd w:id="1"/>
      <w:bookmarkEnd w:id="2"/>
    </w:p>
    <w:p>
      <w:pPr>
        <w:pStyle w:val="30"/>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highlight w:val="none"/>
              </w:rPr>
            </w:pPr>
            <w:r>
              <w:rPr>
                <w:rFonts w:hint="eastAsia" w:ascii="宋体" w:hAnsi="宋体"/>
                <w:b/>
                <w:bCs/>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宋体"/>
                <w:kern w:val="0"/>
                <w:sz w:val="24"/>
                <w:lang w:val="en-US" w:eastAsia="zh-CN"/>
              </w:rPr>
              <w:t>直饮水机维保服务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highlight w:val="none"/>
                <w:lang w:val="en-US" w:eastAsia="zh-CN"/>
              </w:rPr>
            </w:pPr>
            <w:r>
              <w:rPr>
                <w:rFonts w:hint="eastAsia" w:ascii="宋体" w:hAnsi="宋体" w:cs="宋体"/>
                <w:kern w:val="0"/>
                <w:sz w:val="24"/>
                <w:lang w:val="en-US" w:eastAsia="zh-CN"/>
              </w:rPr>
              <w:t>103000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eastAsia="zh-CN"/>
              </w:rPr>
              <w:t>壹拾万零叁仟元整</w:t>
            </w:r>
            <w:r>
              <w:rPr>
                <w:rFonts w:hint="eastAsia" w:ascii="宋体" w:hAnsi="宋体"/>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cs="宋体"/>
                <w:kern w:val="0"/>
                <w:sz w:val="24"/>
                <w:lang w:val="en-US" w:eastAsia="zh-CN"/>
              </w:rPr>
              <w:t>103000</w:t>
            </w:r>
            <w:r>
              <w:rPr>
                <w:rFonts w:hint="eastAsia" w:ascii="宋体" w:hAnsi="宋体"/>
                <w:kern w:val="0"/>
                <w:sz w:val="24"/>
                <w:highlight w:val="none"/>
                <w:lang w:val="en-US" w:eastAsia="zh-CN"/>
              </w:rPr>
              <w:t>.00</w:t>
            </w:r>
            <w:r>
              <w:rPr>
                <w:rFonts w:hint="eastAsia" w:ascii="宋体" w:hAnsi="宋体" w:cs="新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1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kern w:val="0"/>
                <w:sz w:val="24"/>
                <w:highlight w:val="none"/>
              </w:rPr>
            </w:pPr>
            <w:r>
              <w:rPr>
                <w:rFonts w:hint="eastAsia" w:ascii="宋体" w:hAnsi="宋体"/>
                <w:kern w:val="0"/>
                <w:sz w:val="24"/>
              </w:rPr>
              <w:t>备注：</w:t>
            </w:r>
            <w:r>
              <w:rPr>
                <w:rFonts w:hint="eastAsia" w:ascii="宋体" w:hAnsi="宋体" w:cs="宋体"/>
                <w:kern w:val="0"/>
                <w:sz w:val="24"/>
                <w:lang w:val="en-US" w:eastAsia="zh-CN"/>
              </w:rPr>
              <w:t>服务期限2年，合同期内结算总金额不超过10.3万元。</w:t>
            </w:r>
          </w:p>
        </w:tc>
      </w:tr>
    </w:tbl>
    <w:p>
      <w:pPr>
        <w:pStyle w:val="4"/>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4"/>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直饮水机维保服务项目</w:t>
      </w:r>
      <w:r>
        <w:rPr>
          <w:rFonts w:hint="eastAsia" w:cs="宋体"/>
          <w:b w:val="0"/>
          <w:bCs/>
          <w:sz w:val="24"/>
          <w:highlight w:val="none"/>
        </w:rPr>
        <w:t>，预算金额</w:t>
      </w:r>
      <w:r>
        <w:rPr>
          <w:rFonts w:hint="eastAsia" w:cs="宋体"/>
          <w:b w:val="0"/>
          <w:bCs/>
          <w:sz w:val="24"/>
          <w:highlight w:val="none"/>
          <w:lang w:val="en-US" w:eastAsia="zh-CN"/>
        </w:rPr>
        <w:t>10.3</w:t>
      </w:r>
      <w:r>
        <w:rPr>
          <w:rFonts w:hint="eastAsia" w:cs="宋体"/>
          <w:b w:val="0"/>
          <w:bCs/>
          <w:sz w:val="24"/>
          <w:highlight w:val="none"/>
        </w:rPr>
        <w:t>万元。要求供应商根据本网上竞价文件提出的技术要求对所需技术服务等进行报价。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w:t>
      </w:r>
      <w:r>
        <w:rPr>
          <w:rFonts w:hint="eastAsia" w:ascii="宋体" w:hAnsi="宋体" w:cs="宋体"/>
          <w:sz w:val="24"/>
          <w:highlight w:val="none"/>
          <w:lang w:eastAsia="zh-CN"/>
        </w:rPr>
        <w:t>的服务</w:t>
      </w:r>
      <w:r>
        <w:rPr>
          <w:rFonts w:hint="eastAsia" w:ascii="宋体" w:hAnsi="宋体" w:cs="宋体"/>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.报价说明</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kern w:val="0"/>
          <w:sz w:val="24"/>
          <w:highlight w:val="none"/>
          <w:lang w:val="en-US" w:eastAsia="zh-CN"/>
        </w:rPr>
        <w:t>103000</w:t>
      </w:r>
      <w:r>
        <w:rPr>
          <w:rFonts w:hint="eastAsia" w:ascii="宋体" w:hAnsi="宋体" w:cs="宋体"/>
          <w:kern w:val="0"/>
          <w:sz w:val="24"/>
          <w:highlight w:val="none"/>
        </w:rPr>
        <w:t>元×所报折扣。举例说明：供应商所报折扣为9折，则网上竞价平台上填写的投标总价为</w:t>
      </w:r>
      <w:r>
        <w:rPr>
          <w:rFonts w:hint="eastAsia" w:ascii="宋体" w:hAnsi="宋体" w:cs="宋体"/>
          <w:kern w:val="0"/>
          <w:sz w:val="24"/>
          <w:highlight w:val="none"/>
          <w:lang w:val="en-US" w:eastAsia="zh-CN"/>
        </w:rPr>
        <w:t>103000</w:t>
      </w:r>
      <w:r>
        <w:rPr>
          <w:rFonts w:hint="eastAsia" w:ascii="宋体" w:hAnsi="宋体" w:cs="宋体"/>
          <w:kern w:val="0"/>
          <w:sz w:val="24"/>
          <w:highlight w:val="none"/>
        </w:rPr>
        <w:t>元×0.9=92700元。网上竞价结束后，将按照其所报的合同包投标总价÷</w:t>
      </w:r>
      <w:r>
        <w:rPr>
          <w:rFonts w:hint="eastAsia" w:ascii="宋体" w:hAnsi="宋体" w:cs="宋体"/>
          <w:kern w:val="0"/>
          <w:sz w:val="24"/>
          <w:highlight w:val="none"/>
          <w:lang w:val="en-US" w:eastAsia="zh-CN"/>
        </w:rPr>
        <w:t>103000</w:t>
      </w:r>
      <w:r>
        <w:rPr>
          <w:rFonts w:hint="eastAsia" w:ascii="宋体" w:hAnsi="宋体" w:cs="宋体"/>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供应商应以包括有关本项目的所有费用进行报价，应包括但不限于项目执行所应配运输、税收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1、维保目录及数量：</w:t>
      </w:r>
      <w:r>
        <w:rPr>
          <w:rFonts w:hint="eastAsia" w:ascii="宋体" w:hAnsi="宋体" w:eastAsia="宋体" w:cs="宋体"/>
          <w:sz w:val="24"/>
          <w:szCs w:val="24"/>
          <w:lang w:eastAsia="zh-CN"/>
        </w:rPr>
        <w:t>供应商</w:t>
      </w:r>
      <w:r>
        <w:rPr>
          <w:rFonts w:hint="eastAsia" w:ascii="宋体" w:hAnsi="宋体" w:eastAsia="宋体" w:cs="宋体"/>
          <w:sz w:val="24"/>
          <w:szCs w:val="24"/>
        </w:rPr>
        <w:t>对采购人指定区域直饮水机进行下列维保：①滤瓶清洗；②水胆排垢；③设备检查；④耗材更换。耗材目录详见</w:t>
      </w:r>
      <w:r>
        <w:rPr>
          <w:rFonts w:hint="eastAsia" w:ascii="宋体" w:hAnsi="宋体" w:eastAsia="宋体" w:cs="宋体"/>
          <w:sz w:val="24"/>
          <w:szCs w:val="24"/>
          <w:lang w:eastAsia="zh-CN"/>
        </w:rPr>
        <w:t>直饮水机维修预算表。</w:t>
      </w:r>
    </w:p>
    <w:tbl>
      <w:tblPr>
        <w:tblStyle w:val="20"/>
        <w:tblW w:w="5000" w:type="pct"/>
        <w:tblInd w:w="0" w:type="dxa"/>
        <w:tblLayout w:type="autofit"/>
        <w:tblCellMar>
          <w:top w:w="0" w:type="dxa"/>
          <w:left w:w="0" w:type="dxa"/>
          <w:bottom w:w="0" w:type="dxa"/>
          <w:right w:w="0" w:type="dxa"/>
        </w:tblCellMar>
      </w:tblPr>
      <w:tblGrid>
        <w:gridCol w:w="1166"/>
        <w:gridCol w:w="2578"/>
        <w:gridCol w:w="1766"/>
        <w:gridCol w:w="1147"/>
        <w:gridCol w:w="1029"/>
        <w:gridCol w:w="1380"/>
        <w:gridCol w:w="36"/>
      </w:tblGrid>
      <w:tr>
        <w:tblPrEx>
          <w:tblCellMar>
            <w:top w:w="0" w:type="dxa"/>
            <w:left w:w="0" w:type="dxa"/>
            <w:bottom w:w="0" w:type="dxa"/>
            <w:right w:w="0" w:type="dxa"/>
          </w:tblCellMar>
        </w:tblPrEx>
        <w:trPr>
          <w:trHeight w:val="375" w:hRule="atLeast"/>
        </w:trPr>
        <w:tc>
          <w:tcPr>
            <w:tcW w:w="5000" w:type="pct"/>
            <w:gridSpan w:val="7"/>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直饮水机维修预算表</w:t>
            </w:r>
          </w:p>
        </w:tc>
      </w:tr>
      <w:tr>
        <w:tblPrEx>
          <w:tblCellMar>
            <w:top w:w="0" w:type="dxa"/>
            <w:left w:w="0" w:type="dxa"/>
            <w:bottom w:w="0" w:type="dxa"/>
            <w:right w:w="0" w:type="dxa"/>
          </w:tblCellMar>
        </w:tblPrEx>
        <w:trPr>
          <w:trHeight w:val="540" w:hRule="atLeast"/>
        </w:trPr>
        <w:tc>
          <w:tcPr>
            <w:tcW w:w="641"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类别</w:t>
            </w: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配件名称</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规格</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单位</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预估数量</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最高限价</w:t>
            </w:r>
          </w:p>
        </w:tc>
      </w:tr>
      <w:tr>
        <w:tblPrEx>
          <w:tblCellMar>
            <w:top w:w="0" w:type="dxa"/>
            <w:left w:w="0" w:type="dxa"/>
            <w:bottom w:w="0" w:type="dxa"/>
            <w:right w:w="0" w:type="dxa"/>
          </w:tblCellMar>
        </w:tblPrEx>
        <w:trPr>
          <w:trHeight w:val="540"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bookmarkStart w:id="20" w:name="_GoBack" w:colFirst="4" w:colLast="5"/>
            <w:r>
              <w:rPr>
                <w:rFonts w:hint="eastAsia" w:ascii="宋体" w:hAnsi="宋体" w:eastAsia="宋体" w:cs="宋体"/>
                <w:i w:val="0"/>
                <w:iCs w:val="0"/>
                <w:color w:val="000000"/>
                <w:kern w:val="0"/>
                <w:sz w:val="24"/>
                <w:szCs w:val="24"/>
                <w:u w:val="none"/>
                <w:lang w:val="en-US" w:eastAsia="zh-CN" w:bidi="ar"/>
              </w:rPr>
              <w:t>发热管类</w:t>
            </w: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18L水胆泡沫</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用于18L水胆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35L水胆泡沫</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用于35L水胆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220V-2KW</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用于18L水胆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220V-3KW</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用于18L水胆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135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380V-4.5KW</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用于35L水胆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165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380V-6KW</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用于35L水胆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w:t>
            </w:r>
          </w:p>
        </w:tc>
      </w:tr>
      <w:tr>
        <w:tblPrEx>
          <w:tblCellMar>
            <w:top w:w="0" w:type="dxa"/>
            <w:left w:w="0" w:type="dxa"/>
            <w:bottom w:w="0" w:type="dxa"/>
            <w:right w:w="0" w:type="dxa"/>
          </w:tblCellMar>
        </w:tblPrEx>
        <w:trPr>
          <w:trHeight w:val="540"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电器类</w:t>
            </w: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90℃温控器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常闭</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108℃温控器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常闭</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85℃温控器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常开</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控制器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电脑版</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360</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数码表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电脑版</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160</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1210接触器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220V-50HZ</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92</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1810接触器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380V-50HZ</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108</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220V进水电磁阀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88</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24V进水电磁阀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155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24V变压器</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与24V进水电磁阀配用</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24V高温电磁阀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用于开水龙头</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155</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1121钮子开关</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电源开关</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68</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温度探头</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570"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不锈钢类</w:t>
            </w: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双开水硬管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（间距320mm/2头）</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双温开水硬管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（间距320mm/2头）</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全温开水硬管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3头</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20CM波纹管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50CM波纹管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90CM波纹管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110CM波纹管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88</w:t>
            </w:r>
          </w:p>
        </w:tc>
      </w:tr>
      <w:tr>
        <w:tblPrEx>
          <w:tblCellMar>
            <w:top w:w="0" w:type="dxa"/>
            <w:left w:w="0" w:type="dxa"/>
            <w:bottom w:w="0" w:type="dxa"/>
            <w:right w:w="0" w:type="dxa"/>
          </w:tblCellMar>
        </w:tblPrEx>
        <w:trPr>
          <w:trHeight w:val="112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18L水胆</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304材质</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800</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35L水胆</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304材质</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1150</w:t>
            </w:r>
          </w:p>
        </w:tc>
      </w:tr>
      <w:tr>
        <w:tblPrEx>
          <w:tblCellMar>
            <w:top w:w="0" w:type="dxa"/>
            <w:left w:w="0" w:type="dxa"/>
            <w:bottom w:w="0" w:type="dxa"/>
            <w:right w:w="0" w:type="dxa"/>
          </w:tblCellMar>
        </w:tblPrEx>
        <w:trPr>
          <w:trHeight w:val="570"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铜类</w:t>
            </w: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FF0000"/>
                <w:sz w:val="24"/>
                <w:szCs w:val="24"/>
              </w:rPr>
            </w:pPr>
            <w:r>
              <w:rPr>
                <w:rFonts w:hint="eastAsia" w:ascii="宋体" w:hAnsi="宋体" w:eastAsia="宋体" w:cs="宋体"/>
                <w:i w:val="0"/>
                <w:iCs w:val="0"/>
                <w:color w:val="000000"/>
                <w:kern w:val="0"/>
                <w:sz w:val="24"/>
                <w:szCs w:val="24"/>
                <w:u w:val="none"/>
                <w:lang w:val="en-US" w:eastAsia="zh-CN" w:bidi="ar"/>
              </w:rPr>
              <w:t>热交换器（JN-4E）带外壳</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FF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FF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FF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680</w:t>
            </w:r>
          </w:p>
        </w:tc>
      </w:tr>
      <w:tr>
        <w:tblPrEx>
          <w:tblCellMar>
            <w:top w:w="0" w:type="dxa"/>
            <w:left w:w="0" w:type="dxa"/>
            <w:bottom w:w="0" w:type="dxa"/>
            <w:right w:w="0" w:type="dxa"/>
          </w:tblCellMar>
        </w:tblPrEx>
        <w:trPr>
          <w:trHeight w:val="8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水龙头总成</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125</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Style w:val="35"/>
                <w:rFonts w:hint="eastAsia" w:ascii="宋体" w:hAnsi="宋体" w:eastAsia="宋体" w:cs="宋体"/>
                <w:sz w:val="24"/>
                <w:szCs w:val="24"/>
                <w:lang w:val="en-US" w:eastAsia="zh-CN" w:bidi="ar"/>
              </w:rPr>
              <w:t>加长</w:t>
            </w:r>
            <w:r>
              <w:rPr>
                <w:rFonts w:hint="eastAsia" w:ascii="宋体" w:hAnsi="宋体" w:eastAsia="宋体" w:cs="宋体"/>
                <w:i w:val="0"/>
                <w:iCs w:val="0"/>
                <w:color w:val="000000"/>
                <w:kern w:val="0"/>
                <w:sz w:val="24"/>
                <w:szCs w:val="24"/>
                <w:u w:val="none"/>
                <w:lang w:val="en-US" w:eastAsia="zh-CN" w:bidi="ar"/>
              </w:rPr>
              <w:t>水龙头总成</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用于开水瓶</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带锁龙头（开水锁）</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130</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喷水龙头</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145</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水龙头阀芯</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水龙头手轮</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带锁龙头锁匙</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4分螺母</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用于C款</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4分外牙铜直接</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4分外牙铜三通</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8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4分1内2外铜三通</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4分外牙铜弯头</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安全阀(泄压阀、单向阀)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调温阀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调节温开水</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168</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不锈钢内胆堵帽</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管径4分</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M11*1管螺母</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减压阀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缓解水压</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0" w:type="dxa"/>
            <w:bottom w:w="0" w:type="dxa"/>
            <w:right w:w="0" w:type="dxa"/>
          </w:tblCellMar>
        </w:tblPrEx>
        <w:trPr>
          <w:trHeight w:val="285"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杂件</w:t>
            </w: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排水软管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40CM排水漏斗带管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vMerge w:val="restar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漏电保护开关</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220V漏保</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vMerge w:val="continue"/>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380V漏保</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105</w:t>
            </w:r>
          </w:p>
        </w:tc>
      </w:tr>
      <w:tr>
        <w:tblPrEx>
          <w:tblCellMar>
            <w:top w:w="0" w:type="dxa"/>
            <w:left w:w="0" w:type="dxa"/>
            <w:bottom w:w="0" w:type="dxa"/>
            <w:right w:w="0" w:type="dxa"/>
          </w:tblCellMar>
        </w:tblPrEx>
        <w:trPr>
          <w:trHeight w:val="54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直饮水机门锁</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2米进水软管</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进水三角阀</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48</w:t>
            </w:r>
          </w:p>
        </w:tc>
      </w:tr>
      <w:tr>
        <w:tblPrEx>
          <w:tblCellMar>
            <w:top w:w="0" w:type="dxa"/>
            <w:left w:w="0" w:type="dxa"/>
            <w:bottom w:w="0" w:type="dxa"/>
            <w:right w:w="0" w:type="dxa"/>
          </w:tblCellMar>
        </w:tblPrEx>
        <w:trPr>
          <w:trHeight w:val="55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30CM蓝色高温线</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30CM红色高温线</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80CM高温线</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百度手柄开关</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57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过滤瓶</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285" w:hRule="atLeast"/>
        </w:trPr>
        <w:tc>
          <w:tcPr>
            <w:tcW w:w="641" w:type="pct"/>
            <w:vMerge w:val="restart"/>
            <w:tcBorders>
              <w:top w:val="nil"/>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10寸平压滤芯</w:t>
            </w: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5umPP棉</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10寸</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285" w:hRule="atLeast"/>
        </w:trPr>
        <w:tc>
          <w:tcPr>
            <w:tcW w:w="64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1umPP棉</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10寸</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285" w:hRule="atLeast"/>
        </w:trPr>
        <w:tc>
          <w:tcPr>
            <w:tcW w:w="64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颗粒活性炭</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10寸</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285" w:hRule="atLeast"/>
        </w:trPr>
        <w:tc>
          <w:tcPr>
            <w:tcW w:w="64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rPr>
            </w:pPr>
          </w:p>
        </w:tc>
        <w:tc>
          <w:tcPr>
            <w:tcW w:w="1416" w:type="pc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压缩活性炭</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10寸</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420" w:hRule="atLeast"/>
        </w:trPr>
        <w:tc>
          <w:tcPr>
            <w:tcW w:w="64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rPr>
            </w:pPr>
            <w:r>
              <w:rPr>
                <w:rFonts w:hint="eastAsia" w:ascii="宋体" w:hAnsi="宋体" w:eastAsia="宋体" w:cs="宋体"/>
                <w:i w:val="0"/>
                <w:iCs w:val="0"/>
                <w:color w:val="000000"/>
                <w:kern w:val="0"/>
                <w:sz w:val="22"/>
                <w:szCs w:val="22"/>
                <w:u w:val="none"/>
                <w:lang w:val="en-US" w:eastAsia="zh-CN" w:bidi="ar"/>
              </w:rPr>
              <w:t>人工费</w:t>
            </w:r>
          </w:p>
        </w:tc>
        <w:tc>
          <w:tcPr>
            <w:tcW w:w="1416" w:type="pct"/>
            <w:vMerge w:val="restart"/>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人工</w:t>
            </w: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1日</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日</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390" w:hRule="atLeast"/>
        </w:trPr>
        <w:tc>
          <w:tcPr>
            <w:tcW w:w="64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rPr>
            </w:pPr>
          </w:p>
        </w:tc>
        <w:tc>
          <w:tcPr>
            <w:tcW w:w="1416" w:type="pct"/>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9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半日</w:t>
            </w:r>
          </w:p>
        </w:tc>
        <w:tc>
          <w:tcPr>
            <w:tcW w:w="6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半</w:t>
            </w:r>
            <w:r>
              <w:rPr>
                <w:rFonts w:hint="eastAsia" w:ascii="宋体" w:hAnsi="宋体" w:eastAsia="宋体" w:cs="宋体"/>
                <w:i w:val="0"/>
                <w:iCs w:val="0"/>
                <w:color w:val="000000"/>
                <w:kern w:val="0"/>
                <w:sz w:val="22"/>
                <w:szCs w:val="22"/>
                <w:u w:val="none"/>
                <w:lang w:val="en-US" w:eastAsia="zh-CN" w:bidi="ar"/>
              </w:rPr>
              <w:t>日</w:t>
            </w:r>
          </w:p>
        </w:tc>
        <w:tc>
          <w:tcPr>
            <w:tcW w:w="5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r>
      <w:bookmarkEnd w:id="20"/>
      <w:tr>
        <w:tblPrEx>
          <w:tblCellMar>
            <w:top w:w="0" w:type="dxa"/>
            <w:left w:w="0" w:type="dxa"/>
            <w:bottom w:w="0" w:type="dxa"/>
            <w:right w:w="0" w:type="dxa"/>
          </w:tblCellMar>
        </w:tblPrEx>
        <w:trPr>
          <w:gridAfter w:val="1"/>
          <w:wAfter w:w="19" w:type="pct"/>
          <w:trHeight w:val="480" w:hRule="atLeast"/>
        </w:trPr>
        <w:tc>
          <w:tcPr>
            <w:tcW w:w="4980"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i w:val="0"/>
                <w:color w:val="000000"/>
                <w:sz w:val="24"/>
                <w:szCs w:val="24"/>
              </w:rPr>
            </w:pPr>
            <w:r>
              <w:rPr>
                <w:rFonts w:hint="eastAsia" w:ascii="宋体" w:hAnsi="宋体" w:eastAsia="宋体" w:cs="宋体"/>
                <w:b/>
                <w:i w:val="0"/>
                <w:color w:val="000000"/>
                <w:kern w:val="0"/>
                <w:sz w:val="24"/>
                <w:szCs w:val="24"/>
                <w:lang w:val="en-US" w:eastAsia="zh-CN" w:bidi="ar-SA"/>
              </w:rPr>
              <w:t>备注：鉴于饮水机故障的产生无法预估，为此，本项目列表中的数量只是预估数量，具体结算时，以实际数量为准，合同期内结算总金额不超过10.3万元。报价单价不能超过最高限价。</w:t>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要求：</w:t>
      </w:r>
    </w:p>
    <w:p>
      <w:pPr>
        <w:pStyle w:val="8"/>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成交供应商</w:t>
      </w:r>
      <w:r>
        <w:rPr>
          <w:rFonts w:hint="eastAsia" w:ascii="宋体" w:hAnsi="宋体" w:eastAsia="宋体" w:cs="宋体"/>
          <w:sz w:val="24"/>
          <w:szCs w:val="24"/>
        </w:rPr>
        <w:t>每季度对采购人指定直饮水机全面维保一次，在接到采购人维保通知24小时内人员到位，采购人如遇紧急情况需要维修的，</w:t>
      </w:r>
      <w:r>
        <w:rPr>
          <w:rFonts w:hint="eastAsia" w:ascii="宋体" w:hAnsi="宋体" w:eastAsia="宋体" w:cs="宋体"/>
          <w:sz w:val="24"/>
          <w:szCs w:val="24"/>
          <w:lang w:eastAsia="zh-CN"/>
        </w:rPr>
        <w:t>成交供应商</w:t>
      </w:r>
      <w:r>
        <w:rPr>
          <w:rFonts w:hint="eastAsia" w:ascii="宋体" w:hAnsi="宋体" w:eastAsia="宋体" w:cs="宋体"/>
          <w:sz w:val="24"/>
          <w:szCs w:val="24"/>
        </w:rPr>
        <w:t>必须在12小时内响应。若遇到配件暂缺的情况，应及时提供备品备件，尽快地予以全面恢复。进行维修保养后，设备应达到正常使用指标。费用按实结算，由此产生的耗材费用按</w:t>
      </w:r>
      <w:r>
        <w:rPr>
          <w:rFonts w:hint="eastAsia" w:ascii="宋体" w:hAnsi="宋体" w:eastAsia="宋体" w:cs="宋体"/>
          <w:sz w:val="24"/>
          <w:szCs w:val="24"/>
          <w:lang w:eastAsia="zh-CN"/>
        </w:rPr>
        <w:t>成交供应商</w:t>
      </w:r>
      <w:r>
        <w:rPr>
          <w:rFonts w:hint="eastAsia" w:ascii="宋体" w:hAnsi="宋体" w:eastAsia="宋体" w:cs="宋体"/>
          <w:sz w:val="24"/>
          <w:szCs w:val="24"/>
        </w:rPr>
        <w:t>提供的</w:t>
      </w:r>
      <w:r>
        <w:rPr>
          <w:rFonts w:hint="eastAsia" w:ascii="宋体" w:hAnsi="宋体" w:eastAsia="宋体" w:cs="宋体"/>
          <w:sz w:val="24"/>
          <w:szCs w:val="24"/>
          <w:lang w:eastAsia="zh-CN"/>
        </w:rPr>
        <w:t>报价清单</w:t>
      </w:r>
      <w:r>
        <w:rPr>
          <w:rFonts w:hint="eastAsia" w:ascii="宋体" w:hAnsi="宋体" w:eastAsia="宋体" w:cs="宋体"/>
          <w:sz w:val="24"/>
          <w:szCs w:val="24"/>
        </w:rPr>
        <w:t>结算。</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b/>
          <w:bCs/>
          <w:kern w:val="0"/>
          <w:sz w:val="24"/>
          <w:highlight w:val="none"/>
        </w:rPr>
      </w:pPr>
      <w:r>
        <w:rPr>
          <w:rFonts w:hint="eastAsia" w:ascii="宋体" w:hAnsi="宋体" w:eastAsia="宋体" w:cs="宋体"/>
          <w:sz w:val="24"/>
          <w:szCs w:val="24"/>
        </w:rPr>
        <w:t>②</w:t>
      </w:r>
      <w:r>
        <w:rPr>
          <w:rFonts w:hint="eastAsia" w:ascii="宋体" w:hAnsi="宋体" w:eastAsia="宋体" w:cs="宋体"/>
          <w:sz w:val="24"/>
          <w:szCs w:val="24"/>
          <w:lang w:eastAsia="zh-CN"/>
        </w:rPr>
        <w:t>成交供应商</w:t>
      </w:r>
      <w:r>
        <w:rPr>
          <w:rFonts w:hint="eastAsia" w:ascii="宋体" w:hAnsi="宋体" w:eastAsia="宋体" w:cs="宋体"/>
          <w:sz w:val="24"/>
          <w:szCs w:val="24"/>
        </w:rPr>
        <w:t>所提供的维保耗材必须是采购人饮水机品牌原厂生产的、全新的、未使用过的，符合原厂质量检测标准和国家质量检测标准以及合同规定的质量规格和品牌要求，并不受第三方关于侵犯其所有权、专利权、商标权、设计权等指控。如材料不符合要求，采购人有权拒绝接受。</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服务期限</w:t>
      </w:r>
      <w:r>
        <w:rPr>
          <w:rFonts w:hint="eastAsia" w:ascii="宋体" w:hAnsi="宋体" w:cs="宋体"/>
          <w:b/>
          <w:bCs/>
          <w:kern w:val="0"/>
          <w:sz w:val="24"/>
          <w:highlight w:val="none"/>
        </w:rPr>
        <w:t>：合同签订后</w:t>
      </w:r>
      <w:r>
        <w:rPr>
          <w:rFonts w:hint="eastAsia" w:ascii="宋体" w:hAnsi="宋体" w:cs="宋体"/>
          <w:b/>
          <w:bCs/>
          <w:kern w:val="0"/>
          <w:sz w:val="24"/>
          <w:highlight w:val="none"/>
          <w:lang w:val="en-US" w:eastAsia="zh-CN"/>
        </w:rPr>
        <w:t>2年</w:t>
      </w:r>
      <w:r>
        <w:rPr>
          <w:rFonts w:hint="eastAsia" w:ascii="宋体" w:hAnsi="宋体" w:cs="宋体"/>
          <w:b/>
          <w:bCs/>
          <w:kern w:val="0"/>
          <w:sz w:val="24"/>
          <w:highlight w:val="none"/>
        </w:rPr>
        <w:t>。</w:t>
      </w:r>
    </w:p>
    <w:p>
      <w:pPr>
        <w:pStyle w:val="9"/>
        <w:spacing w:after="0" w:line="360" w:lineRule="auto"/>
        <w:ind w:left="0" w:leftChars="0" w:firstLine="482" w:firstLineChars="200"/>
        <w:rPr>
          <w:rFonts w:hint="eastAsia" w:ascii="宋体" w:hAnsi="宋体" w:eastAsia="宋体" w:cs="宋体"/>
          <w:b/>
          <w:bCs/>
          <w:kern w:val="0"/>
          <w:sz w:val="24"/>
          <w:highlight w:val="none"/>
          <w:lang w:eastAsia="zh-CN"/>
        </w:rPr>
      </w:pPr>
      <w:r>
        <w:rPr>
          <w:rFonts w:hint="eastAsia" w:ascii="宋体" w:hAnsi="宋体" w:cs="宋体"/>
          <w:b/>
          <w:bCs/>
          <w:kern w:val="0"/>
          <w:sz w:val="24"/>
          <w:highlight w:val="none"/>
        </w:rPr>
        <w:t>3.交付条件：成交供应商维修完成并经验收合格</w:t>
      </w:r>
      <w:r>
        <w:rPr>
          <w:rFonts w:hint="eastAsia" w:ascii="宋体" w:hAnsi="宋体" w:cs="宋体"/>
          <w:b/>
          <w:bCs/>
          <w:kern w:val="0"/>
          <w:sz w:val="24"/>
          <w:highlight w:val="none"/>
          <w:lang w:eastAsia="zh-CN"/>
        </w:rPr>
        <w:t>。</w:t>
      </w:r>
    </w:p>
    <w:p>
      <w:pPr>
        <w:pStyle w:val="9"/>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4</w:t>
      </w:r>
      <w:r>
        <w:rPr>
          <w:rFonts w:hint="eastAsia" w:ascii="宋体" w:hAnsi="宋体" w:cs="宋体"/>
          <w:b/>
          <w:bCs/>
          <w:kern w:val="0"/>
          <w:sz w:val="24"/>
          <w:highlight w:val="none"/>
        </w:rPr>
        <w:t>%。说明：成交供应商在签订合同前，以转账、支票、银行无条件支付保函等非现金方式向采购人缴纳合同总金额</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u w:val="single"/>
          <w:lang w:val="en-US" w:eastAsia="zh-CN"/>
        </w:rPr>
        <w:t>4</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numPr>
          <w:ilvl w:val="0"/>
          <w:numId w:val="2"/>
        </w:numPr>
        <w:tabs>
          <w:tab w:val="left" w:pos="900"/>
          <w:tab w:val="left" w:pos="1100"/>
          <w:tab w:val="clear" w:pos="312"/>
        </w:tabs>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highlight w:val="none"/>
        </w:rPr>
        <w:t>验收方式：</w:t>
      </w:r>
    </w:p>
    <w:p>
      <w:pPr>
        <w:widowControl/>
        <w:numPr>
          <w:ilvl w:val="0"/>
          <w:numId w:val="0"/>
        </w:numPr>
        <w:tabs>
          <w:tab w:val="left" w:pos="900"/>
          <w:tab w:val="left" w:pos="1100"/>
        </w:tabs>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1采购人对</w:t>
      </w:r>
      <w:r>
        <w:rPr>
          <w:rFonts w:hint="eastAsia" w:ascii="宋体" w:hAnsi="宋体" w:cs="宋体"/>
          <w:b/>
          <w:bCs/>
          <w:sz w:val="24"/>
          <w:highlight w:val="none"/>
          <w:lang w:eastAsia="zh-CN"/>
        </w:rPr>
        <w:t>成交供应商</w:t>
      </w:r>
      <w:r>
        <w:rPr>
          <w:rFonts w:hint="eastAsia" w:ascii="宋体" w:hAnsi="宋体" w:cs="宋体"/>
          <w:b/>
          <w:bCs/>
          <w:sz w:val="24"/>
          <w:highlight w:val="none"/>
        </w:rPr>
        <w:t>的维保情况现场验收。</w:t>
      </w:r>
    </w:p>
    <w:p>
      <w:pPr>
        <w:widowControl/>
        <w:tabs>
          <w:tab w:val="left" w:pos="900"/>
          <w:tab w:val="left" w:pos="1100"/>
        </w:tabs>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2维保所涉及到的耗材，采购人根据本协议所约定的材料清单及要求对材料的品牌、外观、规格、数量、质量进行验收，</w:t>
      </w:r>
      <w:r>
        <w:rPr>
          <w:rFonts w:hint="eastAsia" w:ascii="宋体" w:hAnsi="宋体" w:cs="宋体"/>
          <w:b/>
          <w:bCs/>
          <w:sz w:val="24"/>
          <w:highlight w:val="none"/>
          <w:lang w:eastAsia="zh-CN"/>
        </w:rPr>
        <w:t>成交供应商</w:t>
      </w:r>
      <w:r>
        <w:rPr>
          <w:rFonts w:hint="eastAsia" w:ascii="宋体" w:hAnsi="宋体" w:cs="宋体"/>
          <w:b/>
          <w:bCs/>
          <w:sz w:val="24"/>
          <w:highlight w:val="none"/>
        </w:rPr>
        <w:t>必须在验收现场提供必要的技术支持。</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3如发现材料与协议约定不符，采购人有权拒绝接受，</w:t>
      </w:r>
      <w:r>
        <w:rPr>
          <w:rFonts w:hint="eastAsia" w:ascii="宋体" w:hAnsi="宋体" w:cs="宋体"/>
          <w:b/>
          <w:bCs/>
          <w:sz w:val="24"/>
          <w:highlight w:val="none"/>
          <w:lang w:eastAsia="zh-CN"/>
        </w:rPr>
        <w:t>成交供应商</w:t>
      </w:r>
      <w:r>
        <w:rPr>
          <w:rFonts w:hint="eastAsia" w:ascii="宋体" w:hAnsi="宋体" w:cs="宋体"/>
          <w:b/>
          <w:bCs/>
          <w:sz w:val="24"/>
          <w:highlight w:val="none"/>
        </w:rPr>
        <w:t>须承担违约责任。如维修材料在保证期内被证明存在缺陷，包括潜在缺陷或使用不合适的材料，</w:t>
      </w:r>
      <w:r>
        <w:rPr>
          <w:rFonts w:hint="eastAsia" w:ascii="宋体" w:hAnsi="宋体" w:cs="宋体"/>
          <w:b/>
          <w:bCs/>
          <w:sz w:val="24"/>
          <w:highlight w:val="none"/>
          <w:lang w:eastAsia="zh-CN"/>
        </w:rPr>
        <w:t>成交供应商</w:t>
      </w:r>
      <w:r>
        <w:rPr>
          <w:rFonts w:hint="eastAsia" w:ascii="宋体" w:hAnsi="宋体" w:cs="宋体"/>
          <w:b/>
          <w:bCs/>
          <w:sz w:val="24"/>
          <w:highlight w:val="none"/>
        </w:rPr>
        <w:t xml:space="preserve">应在接到采购人通知后三个工作日内负责解决。  </w:t>
      </w:r>
    </w:p>
    <w:p>
      <w:pPr>
        <w:widowControl/>
        <w:tabs>
          <w:tab w:val="left" w:pos="900"/>
          <w:tab w:val="left" w:pos="1100"/>
        </w:tabs>
        <w:spacing w:line="360" w:lineRule="auto"/>
        <w:ind w:firstLine="482" w:firstLineChars="200"/>
        <w:jc w:val="left"/>
        <w:textAlignment w:val="baseline"/>
        <w:rPr>
          <w:rFonts w:hint="default"/>
          <w:highlight w:val="none"/>
          <w:lang w:val="en-US" w:eastAsia="zh-CN"/>
        </w:rPr>
      </w:pPr>
      <w:r>
        <w:rPr>
          <w:rFonts w:hint="eastAsia" w:ascii="宋体" w:hAnsi="宋体" w:cs="宋体"/>
          <w:b/>
          <w:bCs/>
          <w:sz w:val="24"/>
          <w:highlight w:val="none"/>
        </w:rPr>
        <w:t>6.支付方式：每3个月结算一次，按实结算（监舍的直饮水机维保由生卫科结算，民警办公室及行政区的直饮水机维保由办公室结算）。合同期内，结算总金额不超过人民币10.3万元。每季度维保完毕、采购人确认后，</w:t>
      </w:r>
      <w:r>
        <w:rPr>
          <w:rFonts w:hint="eastAsia" w:ascii="宋体" w:hAnsi="宋体" w:cs="宋体"/>
          <w:b/>
          <w:bCs/>
          <w:sz w:val="24"/>
          <w:highlight w:val="none"/>
          <w:lang w:eastAsia="zh-CN"/>
        </w:rPr>
        <w:t>成交供应商</w:t>
      </w:r>
      <w:r>
        <w:rPr>
          <w:rFonts w:hint="eastAsia" w:ascii="宋体" w:hAnsi="宋体" w:cs="宋体"/>
          <w:b/>
          <w:bCs/>
          <w:sz w:val="24"/>
          <w:highlight w:val="none"/>
        </w:rPr>
        <w:t xml:space="preserve">提供增值税普通发票和完整的验收材料，采购人在收到发票后三十日内支付当季费用。 </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highlight w:val="none"/>
          <w:lang w:val="en-US" w:eastAsia="zh-CN"/>
        </w:rPr>
      </w:pPr>
      <w:r>
        <w:rPr>
          <w:rFonts w:hint="eastAsia"/>
          <w:b w:val="0"/>
          <w:bCs w:val="0"/>
          <w:highlight w:val="none"/>
          <w:lang w:val="en-US" w:eastAsia="zh-CN"/>
        </w:rPr>
        <w:t>（1）成交供应商符合验收条件的，采购人应严格按照网上竞价文件要求在双方约定的时间内进行验收，采购人无正当理由不得无故拖延验收时间。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highlight w:val="none"/>
          <w:lang w:val="en-US" w:eastAsia="zh-CN"/>
        </w:rPr>
      </w:pPr>
      <w:r>
        <w:rPr>
          <w:rFonts w:hint="eastAsia"/>
          <w:b w:val="0"/>
          <w:bCs w:val="0"/>
          <w:highlight w:val="none"/>
          <w:lang w:val="en-US" w:eastAsia="zh-CN"/>
        </w:rPr>
        <w:t>（2）成交供应商所提供的服务不符合合同要求且拒不整改的，采购人有权拒收并没收其履约保证金。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highlight w:val="none"/>
          <w:lang w:val="en-US" w:eastAsia="zh-CN"/>
        </w:rPr>
      </w:pPr>
      <w:r>
        <w:rPr>
          <w:rFonts w:hint="eastAsia"/>
          <w:b w:val="0"/>
          <w:bCs w:val="0"/>
          <w:highlight w:val="none"/>
          <w:lang w:val="en-US" w:eastAsia="zh-CN"/>
        </w:rPr>
        <w:t xml:space="preserve">（3）成交供应商未经采购人同意单方面终止合同的，采购人将没收其履约保证金。 </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highlight w:val="none"/>
          <w:lang w:val="en-US" w:eastAsia="zh-CN"/>
        </w:rPr>
      </w:pPr>
      <w:r>
        <w:rPr>
          <w:rFonts w:hint="eastAsia"/>
          <w:b w:val="0"/>
          <w:bCs w:val="0"/>
          <w:highlight w:val="none"/>
          <w:lang w:val="en-US" w:eastAsia="zh-CN"/>
        </w:rPr>
        <w:t>（4）因成交供应商违约对采购人造成损失的赔偿金及合同约定的违约金均可由采购人从未支付的合同款或履约保证金中扣除。</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highlight w:val="none"/>
          <w:lang w:val="en-US" w:eastAsia="zh-CN"/>
        </w:rPr>
      </w:pPr>
      <w:r>
        <w:rPr>
          <w:rFonts w:hint="eastAsia"/>
          <w:b w:val="0"/>
          <w:bCs w:val="0"/>
          <w:highlight w:val="none"/>
          <w:lang w:val="en-US" w:eastAsia="zh-CN"/>
        </w:rPr>
        <w:t>（5）除上述具体违约情形外，成交供应商出现不符合网上竞价文件、响应文件、合同要求的其他情形，每发现一次，需向采购人支付违约金500元。</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宋体" w:hAnsi="宋体" w:eastAsia="宋体" w:cs="宋体"/>
          <w:b w:val="0"/>
          <w:bCs/>
          <w:color w:val="auto"/>
          <w:kern w:val="2"/>
          <w:sz w:val="24"/>
          <w:szCs w:val="24"/>
          <w:lang w:val="en-US" w:eastAsia="zh-CN" w:bidi="ar-SA"/>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新宋体" w:hAnsi="新宋体" w:eastAsia="新宋体" w:cs="新宋体"/>
          <w:sz w:val="24"/>
          <w:szCs w:val="24"/>
          <w:lang w:val="zh-TW"/>
        </w:rPr>
        <w:t>解除合同违约责任</w:t>
      </w:r>
      <w:r>
        <w:rPr>
          <w:rFonts w:hint="eastAsia" w:ascii="新宋体" w:hAnsi="新宋体" w:eastAsia="新宋体" w:cs="新宋体"/>
          <w:sz w:val="24"/>
          <w:szCs w:val="24"/>
          <w:lang w:val="zh-TW" w:eastAsia="zh-CN"/>
        </w:rPr>
        <w:t>：</w:t>
      </w:r>
      <w:r>
        <w:rPr>
          <w:rFonts w:hint="eastAsia" w:ascii="宋体" w:hAnsi="宋体" w:eastAsia="宋体" w:cs="宋体"/>
          <w:b w:val="0"/>
          <w:bCs/>
          <w:color w:val="auto"/>
          <w:kern w:val="2"/>
          <w:sz w:val="24"/>
          <w:szCs w:val="24"/>
          <w:lang w:val="en-US" w:eastAsia="zh-CN" w:bidi="ar-SA"/>
        </w:rPr>
        <w:t>签订合同后因成交供应商任何违约行为导致本合同无法正常继续履行或提前终止，采购人有权不予退还履约保证金。</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逾期维保的违约责任</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在接到</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维保通知24小时内人员到位，</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如遇紧急情况需要维修的，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必须在12小时内响应。</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未按</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通知时间进行维修的，每逾期一次，</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支付每次200元违约金，逾期超过3次的（含），</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有权单方解除合同并不退还履约保证金。</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耗材质量的违约责任</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所提供的维保耗材必须是原厂生产的、全新的、未使用过的，符合原厂质量检测标准和国家质量检测标准以及协议规定的质量规格和品牌要求。如材料不符合本协议约定的要求，</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有权拒绝接受，同时，</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向</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支付本季度应付费用的20%的违约金。</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新宋体" w:hAnsi="新宋体" w:eastAsia="新宋体" w:cs="新宋体"/>
          <w:sz w:val="24"/>
          <w:szCs w:val="24"/>
          <w:lang w:val="zh-TW"/>
        </w:rPr>
      </w:pPr>
      <w:r>
        <w:rPr>
          <w:rFonts w:hint="eastAsia" w:ascii="新宋体" w:hAnsi="新宋体" w:eastAsia="新宋体" w:cs="新宋体"/>
          <w:sz w:val="24"/>
          <w:szCs w:val="24"/>
          <w:lang w:val="zh-TW" w:eastAsia="zh-CN"/>
        </w:rPr>
        <w:t>（</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lang w:val="zh-TW" w:eastAsia="zh-CN"/>
        </w:rPr>
        <w:t>）</w:t>
      </w:r>
      <w:r>
        <w:rPr>
          <w:rFonts w:hint="eastAsia" w:ascii="新宋体" w:hAnsi="新宋体" w:eastAsia="新宋体" w:cs="新宋体"/>
          <w:sz w:val="24"/>
          <w:szCs w:val="24"/>
          <w:lang w:val="zh-TW"/>
        </w:rPr>
        <w:t>逾期提交发票等材料违约责任</w:t>
      </w:r>
      <w:r>
        <w:rPr>
          <w:rFonts w:hint="eastAsia" w:ascii="新宋体" w:hAnsi="新宋体" w:eastAsia="新宋体" w:cs="新宋体"/>
          <w:sz w:val="24"/>
          <w:szCs w:val="24"/>
          <w:lang w:val="zh-TW" w:eastAsia="zh-CN"/>
        </w:rPr>
        <w:t>：成交供应商</w:t>
      </w:r>
      <w:r>
        <w:rPr>
          <w:rFonts w:hint="eastAsia" w:ascii="新宋体" w:hAnsi="新宋体" w:eastAsia="新宋体" w:cs="新宋体"/>
          <w:sz w:val="24"/>
          <w:szCs w:val="24"/>
          <w:lang w:val="zh-TW"/>
        </w:rPr>
        <w:t>须在约定的时间内完成结算对账并将合法有效发票及相关材料送达</w:t>
      </w:r>
      <w:r>
        <w:rPr>
          <w:rFonts w:hint="eastAsia" w:ascii="新宋体" w:hAnsi="新宋体" w:eastAsia="新宋体" w:cs="新宋体"/>
          <w:sz w:val="24"/>
          <w:szCs w:val="24"/>
          <w:lang w:val="zh-TW" w:eastAsia="zh-CN"/>
        </w:rPr>
        <w:t>采购人</w:t>
      </w:r>
      <w:r>
        <w:rPr>
          <w:rFonts w:hint="eastAsia" w:ascii="新宋体" w:hAnsi="新宋体" w:eastAsia="新宋体" w:cs="新宋体"/>
          <w:sz w:val="24"/>
          <w:szCs w:val="24"/>
          <w:lang w:val="zh-TW"/>
        </w:rPr>
        <w:t>指定部门，如因</w:t>
      </w:r>
      <w:r>
        <w:rPr>
          <w:rFonts w:hint="eastAsia" w:ascii="新宋体" w:hAnsi="新宋体" w:eastAsia="新宋体" w:cs="新宋体"/>
          <w:sz w:val="24"/>
          <w:szCs w:val="24"/>
          <w:lang w:val="zh-TW" w:eastAsia="zh-CN"/>
        </w:rPr>
        <w:t>成交供应商</w:t>
      </w:r>
      <w:r>
        <w:rPr>
          <w:rFonts w:hint="eastAsia" w:ascii="新宋体" w:hAnsi="新宋体" w:eastAsia="新宋体" w:cs="新宋体"/>
          <w:sz w:val="24"/>
          <w:szCs w:val="24"/>
          <w:lang w:val="zh-TW"/>
        </w:rPr>
        <w:t>原因未及时提供发票等相关材料的，每逾期一天，</w:t>
      </w:r>
      <w:r>
        <w:rPr>
          <w:rFonts w:hint="eastAsia" w:ascii="新宋体" w:hAnsi="新宋体" w:eastAsia="新宋体" w:cs="新宋体"/>
          <w:sz w:val="24"/>
          <w:szCs w:val="24"/>
          <w:lang w:val="zh-TW" w:eastAsia="zh-CN"/>
        </w:rPr>
        <w:t>成交供应商</w:t>
      </w:r>
      <w:r>
        <w:rPr>
          <w:rFonts w:hint="eastAsia" w:ascii="新宋体" w:hAnsi="新宋体" w:eastAsia="新宋体" w:cs="新宋体"/>
          <w:sz w:val="24"/>
          <w:szCs w:val="24"/>
          <w:lang w:val="zh-TW"/>
        </w:rPr>
        <w:t>应向</w:t>
      </w:r>
      <w:r>
        <w:rPr>
          <w:rFonts w:hint="eastAsia" w:ascii="新宋体" w:hAnsi="新宋体" w:eastAsia="新宋体" w:cs="新宋体"/>
          <w:sz w:val="24"/>
          <w:szCs w:val="24"/>
          <w:lang w:val="zh-TW" w:eastAsia="zh-CN"/>
        </w:rPr>
        <w:t>采购人</w:t>
      </w:r>
      <w:r>
        <w:rPr>
          <w:rFonts w:hint="eastAsia" w:ascii="新宋体" w:hAnsi="新宋体" w:eastAsia="新宋体" w:cs="新宋体"/>
          <w:sz w:val="24"/>
          <w:szCs w:val="24"/>
          <w:lang w:val="zh-TW"/>
        </w:rPr>
        <w:t>支付违约金人民币</w:t>
      </w:r>
      <w:r>
        <w:rPr>
          <w:rFonts w:hint="eastAsia" w:ascii="新宋体" w:hAnsi="新宋体" w:eastAsia="新宋体" w:cs="新宋体"/>
          <w:sz w:val="24"/>
          <w:szCs w:val="24"/>
        </w:rPr>
        <w:t>100</w:t>
      </w:r>
      <w:r>
        <w:rPr>
          <w:rFonts w:hint="eastAsia" w:ascii="新宋体" w:hAnsi="新宋体" w:eastAsia="新宋体" w:cs="新宋体"/>
          <w:sz w:val="24"/>
          <w:szCs w:val="24"/>
          <w:lang w:val="zh-TW"/>
        </w:rPr>
        <w:t>元，</w:t>
      </w:r>
      <w:r>
        <w:rPr>
          <w:rFonts w:hint="eastAsia" w:ascii="宋体" w:hAnsi="宋体" w:eastAsia="宋体" w:cs="宋体"/>
          <w:b w:val="0"/>
          <w:bCs/>
          <w:color w:val="auto"/>
          <w:kern w:val="2"/>
          <w:sz w:val="24"/>
          <w:szCs w:val="24"/>
          <w:lang w:val="en-US" w:eastAsia="zh-CN" w:bidi="ar-SA"/>
        </w:rPr>
        <w:t>每逾期一天，成交供应商应向采购人支付违约金人民币100元，违约金上限为当次应开发票金额的10%，因此条款违约造成的合同违约金总额不超过人民币10000元。</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新宋体" w:hAnsi="新宋体" w:eastAsia="新宋体" w:cs="新宋体"/>
          <w:sz w:val="24"/>
          <w:szCs w:val="24"/>
          <w:lang w:val="zh-TW"/>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zh-TW"/>
        </w:rPr>
        <w:t>分包转包违约责任</w:t>
      </w:r>
      <w:r>
        <w:rPr>
          <w:rFonts w:hint="eastAsia" w:ascii="新宋体" w:hAnsi="新宋体" w:eastAsia="新宋体" w:cs="新宋体"/>
          <w:sz w:val="24"/>
          <w:szCs w:val="24"/>
          <w:lang w:val="zh-TW" w:eastAsia="zh-CN"/>
        </w:rPr>
        <w:t>：成交供应商</w:t>
      </w:r>
      <w:r>
        <w:rPr>
          <w:rFonts w:hint="eastAsia" w:ascii="新宋体" w:hAnsi="新宋体" w:eastAsia="新宋体" w:cs="新宋体"/>
          <w:sz w:val="24"/>
          <w:szCs w:val="24"/>
          <w:lang w:val="zh-TW"/>
        </w:rPr>
        <w:t>不得将本项目进行分包或转包，如发现经查实，</w:t>
      </w:r>
      <w:r>
        <w:rPr>
          <w:rFonts w:hint="eastAsia" w:ascii="新宋体" w:hAnsi="新宋体" w:eastAsia="新宋体" w:cs="新宋体"/>
          <w:sz w:val="24"/>
          <w:szCs w:val="24"/>
          <w:lang w:val="zh-TW" w:eastAsia="zh-CN"/>
        </w:rPr>
        <w:t>采购人</w:t>
      </w:r>
      <w:r>
        <w:rPr>
          <w:rFonts w:hint="eastAsia" w:ascii="新宋体" w:hAnsi="新宋体" w:eastAsia="新宋体" w:cs="新宋体"/>
          <w:sz w:val="24"/>
          <w:szCs w:val="24"/>
          <w:lang w:val="zh-TW"/>
        </w:rPr>
        <w:t>有权单方解除合同并不予退还履约保证金，</w:t>
      </w:r>
      <w:r>
        <w:rPr>
          <w:rFonts w:hint="eastAsia" w:ascii="新宋体" w:hAnsi="新宋体" w:eastAsia="新宋体" w:cs="新宋体"/>
          <w:sz w:val="24"/>
          <w:szCs w:val="24"/>
          <w:lang w:val="zh-TW" w:eastAsia="zh-CN"/>
        </w:rPr>
        <w:t>成交供应商</w:t>
      </w:r>
      <w:r>
        <w:rPr>
          <w:rFonts w:hint="eastAsia" w:ascii="新宋体" w:hAnsi="新宋体" w:eastAsia="新宋体" w:cs="新宋体"/>
          <w:sz w:val="24"/>
          <w:szCs w:val="24"/>
          <w:lang w:val="zh-TW"/>
        </w:rPr>
        <w:t>还须支付</w:t>
      </w:r>
      <w:r>
        <w:rPr>
          <w:rFonts w:hint="eastAsia" w:ascii="新宋体" w:hAnsi="新宋体" w:eastAsia="新宋体" w:cs="新宋体"/>
          <w:sz w:val="24"/>
          <w:szCs w:val="24"/>
          <w:lang w:val="zh-TW" w:eastAsia="zh-CN"/>
        </w:rPr>
        <w:t>采购人</w:t>
      </w:r>
      <w:r>
        <w:rPr>
          <w:rFonts w:hint="eastAsia" w:ascii="新宋体" w:hAnsi="新宋体" w:eastAsia="新宋体" w:cs="新宋体"/>
          <w:sz w:val="24"/>
          <w:szCs w:val="24"/>
          <w:lang w:val="zh-TW"/>
        </w:rPr>
        <w:t>本合同金额</w:t>
      </w:r>
      <w:r>
        <w:rPr>
          <w:rFonts w:hint="eastAsia" w:ascii="新宋体" w:hAnsi="新宋体" w:eastAsia="新宋体" w:cs="新宋体"/>
          <w:sz w:val="24"/>
          <w:szCs w:val="24"/>
        </w:rPr>
        <w:t>2</w:t>
      </w:r>
      <w:r>
        <w:rPr>
          <w:rFonts w:hint="eastAsia" w:ascii="新宋体" w:hAnsi="新宋体" w:eastAsia="新宋体" w:cs="新宋体"/>
          <w:sz w:val="24"/>
          <w:szCs w:val="24"/>
          <w:lang w:val="zh-TW"/>
        </w:rPr>
        <w:t>0%的违约金。</w:t>
      </w:r>
    </w:p>
    <w:p>
      <w:pPr>
        <w:keepNext w:val="0"/>
        <w:keepLines w:val="0"/>
        <w:pageBreakBefore w:val="0"/>
        <w:kinsoku/>
        <w:wordWrap/>
        <w:overflowPunct/>
        <w:topLinePunct w:val="0"/>
        <w:autoSpaceDE/>
        <w:autoSpaceDN/>
        <w:bidi w:val="0"/>
        <w:adjustRightInd/>
        <w:snapToGrid/>
        <w:spacing w:line="360" w:lineRule="auto"/>
        <w:ind w:firstLine="481"/>
        <w:textAlignment w:val="auto"/>
        <w:rPr>
          <w:rFonts w:hint="eastAsia" w:ascii="宋体" w:hAnsi="宋体" w:eastAsia="宋体" w:cs="宋体"/>
          <w:b w:val="0"/>
          <w:bCs/>
          <w:color w:val="auto"/>
          <w:kern w:val="2"/>
          <w:sz w:val="24"/>
          <w:szCs w:val="24"/>
          <w:lang w:val="en-US" w:eastAsia="zh-CN" w:bidi="ar-SA"/>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zh-TW"/>
        </w:rPr>
        <w:t>进入监管区有关违约责任</w:t>
      </w:r>
      <w:r>
        <w:rPr>
          <w:rFonts w:hint="eastAsia" w:ascii="新宋体" w:hAnsi="新宋体" w:eastAsia="新宋体" w:cs="新宋体"/>
          <w:sz w:val="24"/>
          <w:szCs w:val="24"/>
          <w:lang w:val="zh-TW" w:eastAsia="zh-CN"/>
        </w:rPr>
        <w:t>：</w:t>
      </w:r>
      <w:r>
        <w:rPr>
          <w:rFonts w:hint="eastAsia" w:ascii="宋体" w:hAnsi="宋体" w:eastAsia="宋体" w:cs="宋体"/>
          <w:b w:val="0"/>
          <w:bCs/>
          <w:color w:val="auto"/>
          <w:kern w:val="2"/>
          <w:sz w:val="24"/>
          <w:szCs w:val="24"/>
          <w:lang w:val="en-US" w:eastAsia="zh-CN" w:bidi="ar-SA"/>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2" w:firstLineChars="200"/>
        <w:rPr>
          <w:highlight w:val="none"/>
        </w:rPr>
      </w:pPr>
      <w:r>
        <w:rPr>
          <w:rFonts w:hint="eastAsia"/>
          <w:b/>
          <w:bCs/>
          <w:highlight w:val="none"/>
          <w:lang w:val="en-US" w:eastAsia="zh-CN"/>
        </w:rPr>
        <w:t>8</w:t>
      </w:r>
      <w:r>
        <w:rPr>
          <w:rStyle w:val="23"/>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lang w:val="en-US" w:eastAsia="zh-CN"/>
        </w:rPr>
        <w:t>9</w:t>
      </w:r>
      <w:r>
        <w:rPr>
          <w:rFonts w:hint="eastAsia"/>
          <w:b/>
          <w:bCs/>
          <w:highlight w:val="none"/>
        </w:rPr>
        <w:t>.</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highlight w:val="none"/>
        </w:rPr>
      </w:pPr>
      <w:r>
        <w:rPr>
          <w:rStyle w:val="23"/>
          <w:rFonts w:hint="eastAsia"/>
          <w:highlight w:val="none"/>
        </w:rPr>
        <w:t>1</w:t>
      </w:r>
      <w:r>
        <w:rPr>
          <w:rStyle w:val="23"/>
          <w:rFonts w:hint="eastAsia"/>
          <w:highlight w:val="none"/>
          <w:lang w:val="en-US" w:eastAsia="zh-CN"/>
        </w:rPr>
        <w:t>0</w:t>
      </w:r>
      <w:r>
        <w:rPr>
          <w:rStyle w:val="23"/>
          <w:rFonts w:hint="eastAsia"/>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3"/>
          <w:rFonts w:hint="eastAsia"/>
          <w:highlight w:val="none"/>
        </w:rPr>
        <w:t>1</w:t>
      </w:r>
      <w:r>
        <w:rPr>
          <w:rStyle w:val="23"/>
          <w:rFonts w:hint="eastAsia"/>
          <w:highlight w:val="none"/>
          <w:lang w:val="en-US" w:eastAsia="zh-CN"/>
        </w:rPr>
        <w:t>1</w:t>
      </w:r>
      <w:r>
        <w:rPr>
          <w:rStyle w:val="23"/>
          <w:rFonts w:hint="eastAsia"/>
          <w:highlight w:val="none"/>
        </w:rPr>
        <w:t>.保密条款：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3</w:t>
      </w:r>
      <w:r>
        <w:rPr>
          <w:rFonts w:hint="eastAsia"/>
          <w:b/>
          <w:bCs/>
          <w:highlight w:val="none"/>
        </w:rPr>
        <w:t>.</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rFonts w:hint="eastAsia"/>
          <w:highlight w:val="none"/>
          <w:lang w:val="zh-TW"/>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pStyle w:val="16"/>
        <w:spacing w:before="0" w:beforeAutospacing="0" w:after="0" w:afterAutospacing="0" w:line="360" w:lineRule="auto"/>
        <w:ind w:firstLine="482" w:firstLineChars="200"/>
        <w:rPr>
          <w:rFonts w:hint="eastAsia"/>
          <w:b/>
          <w:bCs/>
          <w:highlight w:val="none"/>
          <w:lang w:val="en-US" w:eastAsia="zh-CN"/>
        </w:rPr>
      </w:pPr>
      <w:r>
        <w:rPr>
          <w:rFonts w:hint="eastAsia"/>
          <w:b/>
          <w:bCs/>
          <w:highlight w:val="none"/>
          <w:lang w:val="en-US" w:eastAsia="zh-CN"/>
        </w:rPr>
        <w:t>14.违约终止协议</w:t>
      </w:r>
    </w:p>
    <w:p>
      <w:pPr>
        <w:pStyle w:val="16"/>
        <w:spacing w:before="0" w:beforeAutospacing="0" w:after="0" w:afterAutospacing="0" w:line="360" w:lineRule="auto"/>
        <w:ind w:firstLine="480" w:firstLineChars="200"/>
        <w:rPr>
          <w:rFonts w:hint="eastAsia"/>
          <w:highlight w:val="none"/>
          <w:lang w:val="en-US" w:eastAsia="zh-CN"/>
        </w:rPr>
      </w:pPr>
      <w:r>
        <w:rPr>
          <w:rFonts w:hint="eastAsia"/>
          <w:highlight w:val="none"/>
          <w:lang w:val="en-US" w:eastAsia="zh-CN"/>
        </w:rPr>
        <w:t xml:space="preserve">14.1在补救违约而采取的任何其他措施未能实现的情况下，即在采购人发出的违约通知后30天内（或经采购人书面确认的更长时间内）仍未纠正其下述任何一种违约行为，采购人可向成交供应商发出书面解约通知，终止全部或部分协议：  </w:t>
      </w:r>
    </w:p>
    <w:p>
      <w:pPr>
        <w:pStyle w:val="16"/>
        <w:spacing w:before="0" w:beforeAutospacing="0" w:after="0" w:afterAutospacing="0" w:line="360" w:lineRule="auto"/>
        <w:ind w:firstLine="480" w:firstLineChars="200"/>
        <w:rPr>
          <w:rFonts w:hint="eastAsia"/>
          <w:highlight w:val="none"/>
          <w:lang w:val="en-US" w:eastAsia="zh-CN"/>
        </w:rPr>
      </w:pPr>
      <w:r>
        <w:rPr>
          <w:rFonts w:hint="eastAsia"/>
          <w:highlight w:val="none"/>
          <w:lang w:val="en-US" w:eastAsia="zh-CN"/>
        </w:rPr>
        <w:t>（1）如果成交供应商未能在协议规定的期限内或采购人准许的任何延期内进行服务。</w:t>
      </w:r>
    </w:p>
    <w:p>
      <w:pPr>
        <w:pStyle w:val="16"/>
        <w:spacing w:before="0" w:beforeAutospacing="0" w:after="0" w:afterAutospacing="0" w:line="360" w:lineRule="auto"/>
        <w:ind w:firstLine="480" w:firstLineChars="200"/>
        <w:rPr>
          <w:rFonts w:hint="default" w:eastAsia="宋体"/>
          <w:highlight w:val="none"/>
          <w:lang w:val="en-US" w:eastAsia="zh-CN"/>
        </w:rPr>
      </w:pPr>
      <w:r>
        <w:rPr>
          <w:rFonts w:hint="eastAsia"/>
          <w:highlight w:val="none"/>
          <w:lang w:val="en-US" w:eastAsia="zh-CN"/>
        </w:rPr>
        <w:t>（2）成交供应商未能履行协议项下的任何其它义务。</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6"/>
              <w:wordWrap w:val="0"/>
              <w:spacing w:beforeAutospacing="0" w:afterAutospacing="0" w:line="360" w:lineRule="auto"/>
              <w:jc w:val="center"/>
              <w:rPr>
                <w:highlight w:val="none"/>
              </w:rPr>
            </w:pPr>
            <w:r>
              <w:rPr>
                <w:rFonts w:hint="eastAsia"/>
                <w:highlight w:val="none"/>
              </w:rPr>
              <w:t>品目号</w:t>
            </w:r>
          </w:p>
        </w:tc>
        <w:tc>
          <w:tcPr>
            <w:tcW w:w="2211" w:type="dxa"/>
            <w:vAlign w:val="center"/>
          </w:tcPr>
          <w:p>
            <w:pPr>
              <w:pStyle w:val="16"/>
              <w:wordWrap w:val="0"/>
              <w:spacing w:beforeAutospacing="0" w:afterAutospacing="0" w:line="360" w:lineRule="auto"/>
              <w:jc w:val="center"/>
              <w:rPr>
                <w:highlight w:val="none"/>
              </w:rPr>
            </w:pPr>
            <w:r>
              <w:rPr>
                <w:rFonts w:hint="eastAsia"/>
                <w:highlight w:val="none"/>
                <w:lang w:eastAsia="zh-CN"/>
              </w:rPr>
              <w:t>服务</w:t>
            </w:r>
            <w:r>
              <w:rPr>
                <w:rFonts w:hint="eastAsia"/>
                <w:highlight w:val="none"/>
              </w:rPr>
              <w:t>名称</w:t>
            </w:r>
          </w:p>
        </w:tc>
        <w:tc>
          <w:tcPr>
            <w:tcW w:w="1546" w:type="dxa"/>
            <w:vAlign w:val="center"/>
          </w:tcPr>
          <w:p>
            <w:pPr>
              <w:pStyle w:val="16"/>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6"/>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6"/>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6"/>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highlight w:val="none"/>
              </w:rPr>
            </w:pPr>
            <w:r>
              <w:rPr>
                <w:rFonts w:hint="eastAsia"/>
                <w:highlight w:val="none"/>
              </w:rPr>
              <w:t>1</w:t>
            </w:r>
          </w:p>
        </w:tc>
        <w:tc>
          <w:tcPr>
            <w:tcW w:w="881" w:type="dxa"/>
            <w:vAlign w:val="center"/>
          </w:tcPr>
          <w:p>
            <w:pPr>
              <w:spacing w:line="360" w:lineRule="auto"/>
              <w:jc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cs="宋体"/>
                <w:highlight w:val="none"/>
              </w:rPr>
            </w:pPr>
          </w:p>
        </w:tc>
        <w:tc>
          <w:tcPr>
            <w:tcW w:w="1324" w:type="dxa"/>
            <w:vAlign w:val="center"/>
          </w:tcPr>
          <w:p>
            <w:pPr>
              <w:pStyle w:val="16"/>
              <w:wordWrap w:val="0"/>
              <w:spacing w:beforeAutospacing="0" w:afterAutospacing="0" w:line="360" w:lineRule="auto"/>
              <w:jc w:val="center"/>
              <w:rPr>
                <w:highlight w:val="none"/>
              </w:rPr>
            </w:pPr>
          </w:p>
        </w:tc>
        <w:tc>
          <w:tcPr>
            <w:tcW w:w="1767" w:type="dxa"/>
            <w:vAlign w:val="center"/>
          </w:tcPr>
          <w:p>
            <w:pPr>
              <w:pStyle w:val="16"/>
              <w:wordWrap w:val="0"/>
              <w:spacing w:beforeAutospacing="0" w:afterAutospacing="0" w:line="360" w:lineRule="auto"/>
              <w:jc w:val="center"/>
              <w:rPr>
                <w:highlight w:val="none"/>
              </w:rPr>
            </w:pPr>
          </w:p>
        </w:tc>
        <w:tc>
          <w:tcPr>
            <w:tcW w:w="659" w:type="dxa"/>
            <w:vAlign w:val="center"/>
          </w:tcPr>
          <w:p>
            <w:pPr>
              <w:pStyle w:val="16"/>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2.1交货地点：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2.2</w:t>
      </w:r>
      <w:r>
        <w:rPr>
          <w:rFonts w:hint="eastAsia" w:ascii="宋体" w:hAnsi="宋体" w:cs="宋体"/>
          <w:b/>
          <w:bCs/>
          <w:sz w:val="24"/>
          <w:highlight w:val="none"/>
          <w:lang w:eastAsia="zh-CN"/>
        </w:rPr>
        <w:t>服务期限</w:t>
      </w:r>
      <w:r>
        <w:rPr>
          <w:rFonts w:hint="eastAsia" w:ascii="宋体" w:hAnsi="宋体" w:cs="宋体"/>
          <w:b/>
          <w:bCs/>
          <w:sz w:val="24"/>
          <w:highlight w:val="none"/>
        </w:rPr>
        <w:t>：</w:t>
      </w:r>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3、交货方式：</w:t>
      </w:r>
    </w:p>
    <w:p>
      <w:pPr>
        <w:spacing w:line="360" w:lineRule="auto"/>
        <w:ind w:firstLine="482" w:firstLineChars="200"/>
        <w:outlineLvl w:val="1"/>
        <w:rPr>
          <w:rFonts w:ascii="宋体" w:hAnsi="宋体" w:cs="宋体"/>
          <w:sz w:val="24"/>
          <w:highlight w:val="none"/>
        </w:rPr>
      </w:pPr>
      <w:bookmarkStart w:id="9" w:name="_Toc15649"/>
      <w:r>
        <w:rPr>
          <w:rFonts w:hint="eastAsia" w:ascii="宋体" w:hAnsi="宋体" w:cs="宋体"/>
          <w:b/>
          <w:bCs/>
          <w:sz w:val="24"/>
          <w:highlight w:val="none"/>
        </w:rPr>
        <w:t>4、项目联系人：</w:t>
      </w:r>
      <w:bookmarkEnd w:id="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5、履约保证金：</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bCs/>
          <w:sz w:val="24"/>
          <w:highlight w:val="none"/>
        </w:rPr>
        <w:t>6、结算与付款方式：</w:t>
      </w:r>
      <w:bookmarkEnd w:id="10"/>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7、技术和服务要求（</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）具体如下：</w:t>
      </w:r>
    </w:p>
    <w:p>
      <w:pPr>
        <w:spacing w:line="360" w:lineRule="auto"/>
        <w:rPr>
          <w:rFonts w:ascii="宋体" w:hAnsi="宋体" w:cs="宋体"/>
          <w:color w:val="000000"/>
          <w:sz w:val="24"/>
          <w:highlight w:val="none"/>
        </w:rPr>
      </w:pP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color w:val="000000"/>
          <w:sz w:val="24"/>
          <w:highlight w:val="none"/>
        </w:rPr>
        <w:t>8、验收要求</w:t>
      </w:r>
      <w:bookmarkEnd w:id="11"/>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spacing w:line="360" w:lineRule="auto"/>
        <w:ind w:firstLine="482" w:firstLineChars="200"/>
        <w:outlineLvl w:val="1"/>
        <w:rPr>
          <w:rFonts w:hint="eastAsia" w:ascii="宋体" w:hAnsi="宋体" w:eastAsia="宋体" w:cs="宋体"/>
          <w:b/>
          <w:bCs/>
          <w:color w:val="000000"/>
          <w:sz w:val="24"/>
          <w:highlight w:val="none"/>
          <w:lang w:eastAsia="zh-CN"/>
        </w:rPr>
      </w:pPr>
      <w:bookmarkStart w:id="12" w:name="_Toc26908"/>
      <w:r>
        <w:rPr>
          <w:rFonts w:hint="eastAsia" w:ascii="宋体" w:hAnsi="宋体" w:cs="宋体"/>
          <w:b/>
          <w:bCs/>
          <w:color w:val="000000"/>
          <w:sz w:val="24"/>
          <w:highlight w:val="none"/>
          <w:lang w:val="en-US" w:eastAsia="zh-CN"/>
        </w:rPr>
        <w:t>9</w:t>
      </w:r>
      <w:r>
        <w:rPr>
          <w:rFonts w:hint="eastAsia" w:ascii="宋体" w:hAnsi="宋体" w:cs="宋体"/>
          <w:b/>
          <w:bCs/>
          <w:color w:val="000000"/>
          <w:sz w:val="24"/>
          <w:highlight w:val="none"/>
        </w:rPr>
        <w:t>、违约责任</w:t>
      </w:r>
      <w:bookmarkEnd w:id="12"/>
      <w:r>
        <w:rPr>
          <w:rFonts w:hint="eastAsia" w:ascii="宋体" w:hAnsi="宋体" w:cs="宋体"/>
          <w:b/>
          <w:bCs/>
          <w:color w:val="000000"/>
          <w:sz w:val="24"/>
          <w:highlight w:val="none"/>
          <w:lang w:eastAsia="zh-CN"/>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tabs>
          <w:tab w:val="left" w:pos="0"/>
        </w:tabs>
        <w:spacing w:line="360" w:lineRule="auto"/>
        <w:ind w:firstLine="482" w:firstLineChars="200"/>
        <w:outlineLvl w:val="1"/>
        <w:rPr>
          <w:rFonts w:hint="eastAsia" w:ascii="宋体" w:hAnsi="宋体" w:cs="宋体"/>
          <w:b/>
          <w:bCs/>
          <w:sz w:val="24"/>
          <w:highlight w:val="none"/>
        </w:rPr>
      </w:pPr>
      <w:bookmarkStart w:id="13" w:name="_Toc25786"/>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13"/>
      <w:r>
        <w:rPr>
          <w:rFonts w:hint="eastAsia" w:ascii="宋体" w:hAnsi="宋体" w:cs="宋体"/>
          <w:b/>
          <w:bCs/>
          <w:sz w:val="24"/>
          <w:highlight w:val="none"/>
        </w:rPr>
        <w:t>专利权及知识产权</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1</w:t>
      </w:r>
      <w:r>
        <w:rPr>
          <w:rFonts w:hint="eastAsia" w:ascii="宋体" w:hAnsi="宋体" w:cs="宋体"/>
          <w:b/>
          <w:bCs/>
          <w:sz w:val="24"/>
          <w:highlight w:val="none"/>
        </w:rPr>
        <w:t>、其他约定：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4" w:name="_Toc1392"/>
      <w:r>
        <w:rPr>
          <w:rFonts w:hint="eastAsia" w:ascii="宋体" w:hAnsi="宋体" w:cs="宋体"/>
          <w:b/>
          <w:bCs/>
          <w:sz w:val="24"/>
          <w:highlight w:val="none"/>
          <w:lang w:val="en-US" w:eastAsia="zh-CN"/>
        </w:rPr>
        <w:t>12</w:t>
      </w:r>
      <w:r>
        <w:rPr>
          <w:rFonts w:hint="eastAsia" w:ascii="宋体" w:hAnsi="宋体" w:cs="宋体"/>
          <w:b/>
          <w:bCs/>
          <w:sz w:val="24"/>
          <w:highlight w:val="none"/>
        </w:rPr>
        <w:t>、合同解除条件</w:t>
      </w:r>
      <w:bookmarkEnd w:id="14"/>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5" w:name="_Toc5467"/>
      <w:r>
        <w:rPr>
          <w:rFonts w:hint="eastAsia" w:ascii="宋体" w:hAnsi="宋体" w:cs="宋体"/>
          <w:b/>
          <w:bCs/>
          <w:sz w:val="24"/>
          <w:highlight w:val="none"/>
          <w:lang w:val="en-US" w:eastAsia="zh-CN"/>
        </w:rPr>
        <w:t>13</w:t>
      </w:r>
      <w:r>
        <w:rPr>
          <w:rFonts w:hint="eastAsia" w:ascii="宋体" w:hAnsi="宋体" w:cs="宋体"/>
          <w:b/>
          <w:bCs/>
          <w:sz w:val="24"/>
          <w:highlight w:val="none"/>
        </w:rPr>
        <w:t>、不可抗力</w:t>
      </w:r>
      <w:bookmarkEnd w:id="15"/>
    </w:p>
    <w:p>
      <w:pPr>
        <w:pStyle w:val="16"/>
        <w:spacing w:before="0" w:beforeAutospacing="0" w:after="0" w:afterAutospacing="0" w:line="360" w:lineRule="auto"/>
        <w:ind w:firstLine="480" w:firstLineChars="200"/>
        <w:rPr>
          <w:highlight w:val="none"/>
          <w:lang w:val="zh-TW"/>
        </w:rPr>
      </w:pPr>
      <w:bookmarkStart w:id="16"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4</w:t>
      </w:r>
      <w:r>
        <w:rPr>
          <w:rFonts w:hint="eastAsia" w:ascii="宋体" w:hAnsi="宋体" w:cs="宋体"/>
          <w:b/>
          <w:bCs/>
          <w:sz w:val="24"/>
          <w:highlight w:val="none"/>
        </w:rPr>
        <w:t>、合同纠纷处理方式</w:t>
      </w:r>
      <w:bookmarkEnd w:id="16"/>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sz w:val="24"/>
          <w:highlight w:val="none"/>
        </w:rPr>
      </w:pPr>
      <w:bookmarkStart w:id="17" w:name="_Toc8403"/>
      <w:r>
        <w:rPr>
          <w:rFonts w:hint="eastAsia" w:ascii="宋体" w:hAnsi="宋体" w:cs="宋体"/>
          <w:b/>
          <w:bCs/>
          <w:sz w:val="24"/>
          <w:highlight w:val="none"/>
        </w:rPr>
        <w:t>1</w:t>
      </w:r>
      <w:r>
        <w:rPr>
          <w:rFonts w:hint="eastAsia" w:ascii="宋体" w:hAnsi="宋体" w:cs="宋体"/>
          <w:b/>
          <w:bCs/>
          <w:sz w:val="24"/>
          <w:highlight w:val="none"/>
          <w:lang w:val="en-US" w:eastAsia="zh-CN"/>
        </w:rPr>
        <w:t>5</w:t>
      </w:r>
      <w:r>
        <w:rPr>
          <w:rFonts w:hint="eastAsia" w:ascii="宋体" w:hAnsi="宋体" w:cs="宋体"/>
          <w:b/>
          <w:bCs/>
          <w:sz w:val="24"/>
          <w:highlight w:val="none"/>
        </w:rPr>
        <w:t>、保密要求</w:t>
      </w:r>
      <w:bookmarkEnd w:id="17"/>
    </w:p>
    <w:p>
      <w:pPr>
        <w:pStyle w:val="16"/>
        <w:spacing w:before="0" w:beforeAutospacing="0" w:after="0" w:afterAutospacing="0" w:line="360" w:lineRule="auto"/>
        <w:ind w:firstLine="480" w:firstLineChars="200"/>
        <w:rPr>
          <w:highlight w:val="none"/>
        </w:rPr>
      </w:pPr>
      <w:bookmarkStart w:id="18"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、廉政条款</w:t>
      </w:r>
      <w:bookmarkEnd w:id="18"/>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7"/>
        <w:spacing w:line="360" w:lineRule="auto"/>
        <w:ind w:firstLine="480" w:firstLineChars="200"/>
        <w:jc w:val="both"/>
        <w:rPr>
          <w:rFonts w:ascii="宋体" w:hAnsi="宋体" w:cs="宋体"/>
          <w:sz w:val="36"/>
          <w:szCs w:val="36"/>
          <w:highlight w:val="none"/>
        </w:rPr>
      </w:pPr>
      <w:bookmarkStart w:id="19" w:name="_Toc30271"/>
      <w:r>
        <w:rPr>
          <w:rFonts w:hint="eastAsia" w:ascii="宋体" w:hAnsi="宋体" w:cs="宋体"/>
          <w:b w:val="0"/>
          <w:bCs w:val="0"/>
          <w:sz w:val="24"/>
          <w:szCs w:val="24"/>
          <w:highlight w:val="none"/>
        </w:rPr>
        <w:t>账    号：                            账    号：</w:t>
      </w:r>
      <w:bookmarkEnd w:id="19"/>
    </w:p>
    <w:p>
      <w:pPr>
        <w:pStyle w:val="19"/>
        <w:spacing w:line="360" w:lineRule="auto"/>
        <w:rPr>
          <w:sz w:val="24"/>
          <w:highlight w:val="none"/>
        </w:rPr>
      </w:pPr>
    </w:p>
    <w:p>
      <w:pPr>
        <w:pStyle w:val="19"/>
        <w:spacing w:line="360" w:lineRule="auto"/>
        <w:rPr>
          <w:highlight w:val="none"/>
        </w:rPr>
      </w:pPr>
    </w:p>
    <w:p>
      <w:pPr>
        <w:pStyle w:val="19"/>
        <w:spacing w:line="360" w:lineRule="auto"/>
        <w:rPr>
          <w:highlight w:val="none"/>
        </w:rPr>
      </w:pPr>
    </w:p>
    <w:p>
      <w:pPr>
        <w:pStyle w:val="19"/>
        <w:spacing w:line="360" w:lineRule="auto"/>
        <w:rPr>
          <w:highlight w:val="none"/>
        </w:rPr>
      </w:pPr>
    </w:p>
    <w:p>
      <w:pPr>
        <w:pStyle w:val="19"/>
        <w:spacing w:line="360" w:lineRule="auto"/>
        <w:rPr>
          <w:highlight w:val="none"/>
        </w:rPr>
      </w:pPr>
    </w:p>
    <w:p>
      <w:pPr>
        <w:pStyle w:val="19"/>
        <w:spacing w:line="360" w:lineRule="auto"/>
        <w:rPr>
          <w:highlight w:val="none"/>
        </w:rPr>
      </w:pPr>
    </w:p>
    <w:p>
      <w:pPr>
        <w:pStyle w:val="19"/>
        <w:spacing w:line="360" w:lineRule="auto"/>
        <w:rPr>
          <w:highlight w:val="none"/>
        </w:rPr>
      </w:pPr>
    </w:p>
    <w:p>
      <w:pPr>
        <w:pStyle w:val="19"/>
        <w:spacing w:line="360" w:lineRule="auto"/>
        <w:rPr>
          <w:highlight w:val="none"/>
        </w:rPr>
      </w:pP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7"/>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spacing w:line="360" w:lineRule="auto"/>
        <w:rPr>
          <w:highlight w:val="none"/>
        </w:rPr>
      </w:pPr>
    </w:p>
    <w:p>
      <w:pPr>
        <w:pStyle w:val="18"/>
        <w:spacing w:line="360" w:lineRule="auto"/>
        <w:ind w:firstLine="210"/>
        <w:rPr>
          <w:highlight w:val="none"/>
        </w:rPr>
      </w:pPr>
    </w:p>
    <w:p>
      <w:pPr>
        <w:pStyle w:val="6"/>
        <w:spacing w:line="360" w:lineRule="auto"/>
        <w:rPr>
          <w:highlight w:val="none"/>
        </w:rPr>
      </w:pPr>
    </w:p>
    <w:p>
      <w:pPr>
        <w:pStyle w:val="9"/>
        <w:spacing w:line="360" w:lineRule="auto"/>
        <w:rPr>
          <w:highlight w:val="none"/>
        </w:rPr>
      </w:pPr>
    </w:p>
    <w:p>
      <w:pPr>
        <w:pStyle w:val="6"/>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4"/>
        <w:spacing w:line="360" w:lineRule="auto"/>
        <w:rPr>
          <w:highlight w:val="none"/>
        </w:rPr>
      </w:pPr>
    </w:p>
    <w:p>
      <w:pPr>
        <w:pStyle w:val="27"/>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7"/>
        <w:spacing w:after="120" w:line="360" w:lineRule="auto"/>
        <w:outlineLvl w:val="9"/>
        <w:rPr>
          <w:rFonts w:hAnsi="宋体" w:cs="宋体"/>
          <w:b/>
          <w:sz w:val="36"/>
          <w:highlight w:val="none"/>
        </w:rPr>
      </w:pPr>
    </w:p>
    <w:p>
      <w:pPr>
        <w:pStyle w:val="27"/>
        <w:spacing w:line="360" w:lineRule="auto"/>
        <w:rPr>
          <w:rFonts w:hAnsi="宋体" w:cs="宋体"/>
          <w:bCs/>
          <w:sz w:val="24"/>
          <w:highlight w:val="none"/>
        </w:rPr>
      </w:pPr>
      <w:r>
        <w:rPr>
          <w:rFonts w:hint="eastAsia" w:hAnsi="宋体" w:cs="宋体"/>
          <w:bCs/>
          <w:sz w:val="24"/>
          <w:highlight w:val="none"/>
        </w:rPr>
        <w:t>1、网上竞价承诺书</w:t>
      </w:r>
    </w:p>
    <w:p>
      <w:pPr>
        <w:pStyle w:val="27"/>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7"/>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7"/>
        <w:spacing w:line="360" w:lineRule="auto"/>
        <w:rPr>
          <w:rFonts w:hAnsi="宋体"/>
          <w:sz w:val="24"/>
          <w:highlight w:val="none"/>
        </w:rPr>
      </w:pPr>
      <w:r>
        <w:rPr>
          <w:rFonts w:hint="eastAsia" w:hAnsi="宋体"/>
          <w:sz w:val="24"/>
          <w:highlight w:val="none"/>
        </w:rPr>
        <w:t>4、网上竞价文件要求的其他资格和技术商务材料</w:t>
      </w:r>
    </w:p>
    <w:p>
      <w:pPr>
        <w:pStyle w:val="27"/>
        <w:spacing w:line="360" w:lineRule="auto"/>
        <w:outlineLvl w:val="9"/>
        <w:rPr>
          <w:rFonts w:hAnsi="宋体" w:cs="宋体"/>
          <w:bCs/>
          <w:sz w:val="24"/>
          <w:highlight w:val="none"/>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color="auto" w:fill="FFFFFF"/>
        <w:spacing w:line="360" w:lineRule="auto"/>
        <w:rPr>
          <w:rFonts w:ascii="宋体" w:hAnsi="宋体" w:cs="宋体"/>
          <w:b/>
          <w:kern w:val="0"/>
          <w:sz w:val="28"/>
          <w:szCs w:val="28"/>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kern w:val="0"/>
          <w:sz w:val="24"/>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1"/>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7"/>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7"/>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3"/>
                <w:rFonts w:hint="eastAsia"/>
                <w:highlight w:val="none"/>
              </w:rPr>
              <w:t> </w:t>
            </w:r>
          </w:p>
          <w:p>
            <w:pPr>
              <w:pStyle w:val="16"/>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2"/>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014" w:type="dxa"/>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2"/>
              <w:spacing w:line="360" w:lineRule="auto"/>
              <w:jc w:val="center"/>
              <w:rPr>
                <w:rFonts w:hint="default" w:ascii="宋体" w:hAnsi="宋体" w:cs="宋体"/>
                <w:sz w:val="24"/>
                <w:szCs w:val="24"/>
                <w:highlight w:val="none"/>
                <w:lang w:eastAsia="zh-CN"/>
              </w:rPr>
            </w:pPr>
            <w:r>
              <w:rPr>
                <w:rFonts w:hint="default" w:ascii="宋体" w:hAnsi="宋体" w:cs="宋体"/>
                <w:sz w:val="24"/>
                <w:szCs w:val="24"/>
                <w:highlight w:val="none"/>
                <w:lang w:eastAsia="zh-CN"/>
              </w:rPr>
              <w:t>服务名称</w:t>
            </w:r>
          </w:p>
        </w:tc>
        <w:tc>
          <w:tcPr>
            <w:tcW w:w="2178" w:type="dxa"/>
          </w:tcPr>
          <w:p>
            <w:pPr>
              <w:pStyle w:val="32"/>
              <w:spacing w:line="360" w:lineRule="auto"/>
              <w:jc w:val="center"/>
              <w:rPr>
                <w:rFonts w:hint="default" w:ascii="宋体" w:hAnsi="宋体" w:cs="宋体"/>
                <w:sz w:val="24"/>
                <w:szCs w:val="24"/>
                <w:highlight w:val="none"/>
              </w:rPr>
            </w:pPr>
            <w:r>
              <w:rPr>
                <w:rFonts w:hint="default" w:ascii="宋体" w:hAnsi="宋体" w:eastAsia="宋体" w:cs="宋体"/>
                <w:sz w:val="24"/>
                <w:szCs w:val="24"/>
                <w:highlight w:val="none"/>
              </w:rPr>
              <w:t>服务期限</w:t>
            </w:r>
          </w:p>
        </w:tc>
        <w:tc>
          <w:tcPr>
            <w:tcW w:w="946" w:type="dxa"/>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”应与</w:t>
      </w:r>
      <w:r>
        <w:rPr>
          <w:rFonts w:ascii="宋体" w:hAnsi="宋体" w:cs="宋体"/>
          <w:sz w:val="24"/>
          <w:szCs w:val="24"/>
          <w:highlight w:val="none"/>
          <w:lang w:eastAsia="zh-CN"/>
        </w:rPr>
        <w:t>第三章</w:t>
      </w:r>
      <w:r>
        <w:rPr>
          <w:rFonts w:ascii="宋体" w:hAnsi="宋体" w:cs="宋体"/>
          <w:sz w:val="24"/>
          <w:szCs w:val="24"/>
          <w:highlight w:val="none"/>
        </w:rPr>
        <w:t>《采购标的一览表》中的有关内容（“采购包”、“品目号”、“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”）保持一致。</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w:t>
      </w:r>
      <w:r>
        <w:rPr>
          <w:rFonts w:ascii="宋体" w:hAnsi="宋体" w:eastAsia="宋体" w:cs="宋体"/>
          <w:sz w:val="24"/>
          <w:szCs w:val="24"/>
          <w:highlight w:val="none"/>
        </w:rPr>
        <w:t>“规格”项下应填写服务提供者提供的服务标准及品牌（若有）。“来源地”应填写服务提供者的所在地。</w:t>
      </w:r>
    </w:p>
    <w:p>
      <w:pPr>
        <w:pStyle w:val="32"/>
        <w:spacing w:line="360" w:lineRule="auto"/>
        <w:ind w:firstLine="480"/>
        <w:jc w:val="right"/>
        <w:rPr>
          <w:rFonts w:hint="default" w:ascii="宋体" w:hAnsi="宋体" w:cs="宋体"/>
          <w:sz w:val="24"/>
          <w:szCs w:val="24"/>
          <w:highlight w:val="none"/>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10"/>
        <w:numPr>
          <w:ilvl w:val="0"/>
          <w:numId w:val="3"/>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10"/>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4"/>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9"/>
        <w:spacing w:line="360" w:lineRule="auto"/>
        <w:ind w:left="0" w:leftChars="0"/>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9"/>
        <w:spacing w:line="360" w:lineRule="auto"/>
        <w:ind w:left="0" w:leftChars="0"/>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10"/>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6"/>
        <w:spacing w:line="360" w:lineRule="auto"/>
        <w:rPr>
          <w:rFonts w:ascii="楷体_GB2312" w:eastAsia="楷体_GB2312"/>
          <w:b/>
          <w:sz w:val="40"/>
          <w:szCs w:val="40"/>
          <w:highlight w:val="none"/>
        </w:rPr>
      </w:pPr>
    </w:p>
    <w:p>
      <w:pPr>
        <w:pStyle w:val="9"/>
        <w:spacing w:line="360" w:lineRule="auto"/>
        <w:rPr>
          <w:rFonts w:ascii="楷体_GB2312" w:eastAsia="楷体_GB2312"/>
          <w:b/>
          <w:sz w:val="40"/>
          <w:szCs w:val="40"/>
          <w:highlight w:val="none"/>
        </w:rPr>
      </w:pPr>
    </w:p>
    <w:p>
      <w:pPr>
        <w:pStyle w:val="6"/>
        <w:spacing w:line="360" w:lineRule="auto"/>
        <w:rPr>
          <w:rFonts w:ascii="楷体_GB2312" w:eastAsia="楷体_GB2312"/>
          <w:b/>
          <w:sz w:val="40"/>
          <w:szCs w:val="40"/>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4"/>
        <w:spacing w:line="360" w:lineRule="auto"/>
        <w:rPr>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10"/>
        <w:spacing w:line="360" w:lineRule="auto"/>
        <w:rPr>
          <w:highlight w:val="none"/>
        </w:rPr>
      </w:pPr>
    </w:p>
    <w:p>
      <w:pPr>
        <w:pStyle w:val="5"/>
        <w:keepNext w:val="0"/>
        <w:keepLines w:val="0"/>
        <w:spacing w:line="360" w:lineRule="auto"/>
        <w:rPr>
          <w:rFonts w:hint="default"/>
          <w:highlight w:val="none"/>
        </w:rPr>
      </w:pPr>
      <w:r>
        <w:rPr>
          <w:highlight w:val="none"/>
        </w:rPr>
        <w:t>1、报价一览表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1145" w:type="pct"/>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c>
          <w:tcPr>
            <w:tcW w:w="1145" w:type="pct"/>
            <w:vAlign w:val="center"/>
          </w:tcPr>
          <w:p>
            <w:pPr>
              <w:pStyle w:val="11"/>
              <w:snapToGrid w:val="0"/>
              <w:spacing w:line="360" w:lineRule="auto"/>
              <w:ind w:left="-105" w:leftChars="-50" w:right="-105" w:rightChars="-50"/>
              <w:jc w:val="center"/>
              <w:rPr>
                <w:rFonts w:hint="eastAsia" w:hAnsi="宋体" w:eastAsia="宋体"/>
                <w:kern w:val="2"/>
                <w:sz w:val="24"/>
                <w:highlight w:val="none"/>
                <w:lang w:eastAsia="zh-CN"/>
              </w:rPr>
            </w:pPr>
            <w:r>
              <w:rPr>
                <w:rFonts w:hint="eastAsia" w:hAnsi="宋体"/>
                <w:kern w:val="2"/>
                <w:sz w:val="24"/>
                <w:highlight w:val="none"/>
                <w:lang w:eastAsia="zh-CN"/>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sz w:val="24"/>
                <w:highlight w:val="none"/>
              </w:rPr>
            </w:pPr>
          </w:p>
        </w:tc>
        <w:tc>
          <w:tcPr>
            <w:tcW w:w="332" w:type="pct"/>
            <w:vAlign w:val="center"/>
          </w:tcPr>
          <w:p>
            <w:pPr>
              <w:snapToGrid w:val="0"/>
              <w:spacing w:line="360" w:lineRule="auto"/>
              <w:jc w:val="center"/>
              <w:rPr>
                <w:rFonts w:ascii="宋体" w:hAnsi="宋体"/>
                <w:sz w:val="24"/>
                <w:highlight w:val="none"/>
              </w:rPr>
            </w:pPr>
          </w:p>
        </w:tc>
        <w:tc>
          <w:tcPr>
            <w:tcW w:w="821" w:type="pct"/>
            <w:vAlign w:val="center"/>
          </w:tcPr>
          <w:p>
            <w:pPr>
              <w:snapToGrid w:val="0"/>
              <w:spacing w:line="360" w:lineRule="auto"/>
              <w:jc w:val="center"/>
              <w:rPr>
                <w:rFonts w:ascii="宋体" w:hAnsi="宋体"/>
                <w:sz w:val="24"/>
                <w:highlight w:val="none"/>
              </w:rPr>
            </w:pPr>
          </w:p>
        </w:tc>
        <w:tc>
          <w:tcPr>
            <w:tcW w:w="537" w:type="pct"/>
            <w:vAlign w:val="center"/>
          </w:tcPr>
          <w:p>
            <w:pPr>
              <w:snapToGrid w:val="0"/>
              <w:spacing w:line="360" w:lineRule="auto"/>
              <w:jc w:val="center"/>
              <w:rPr>
                <w:rFonts w:ascii="宋体" w:hAnsi="宋体"/>
                <w:sz w:val="24"/>
                <w:highlight w:val="none"/>
              </w:rPr>
            </w:pPr>
          </w:p>
        </w:tc>
        <w:tc>
          <w:tcPr>
            <w:tcW w:w="672" w:type="pct"/>
            <w:vAlign w:val="center"/>
          </w:tcPr>
          <w:p>
            <w:pPr>
              <w:snapToGrid w:val="0"/>
              <w:spacing w:line="360" w:lineRule="auto"/>
              <w:jc w:val="center"/>
              <w:rPr>
                <w:rFonts w:ascii="宋体" w:hAnsi="宋体" w:cs="宋体"/>
                <w:kern w:val="0"/>
                <w:sz w:val="24"/>
                <w:highlight w:val="none"/>
              </w:rPr>
            </w:pPr>
          </w:p>
        </w:tc>
        <w:tc>
          <w:tcPr>
            <w:tcW w:w="1145" w:type="pct"/>
            <w:vAlign w:val="center"/>
          </w:tcPr>
          <w:p>
            <w:pPr>
              <w:widowControl/>
              <w:spacing w:line="360" w:lineRule="auto"/>
              <w:jc w:val="left"/>
              <w:rPr>
                <w:rFonts w:ascii="宋体" w:hAnsi="宋体"/>
                <w:sz w:val="24"/>
                <w:highlight w:val="none"/>
              </w:rPr>
            </w:pPr>
          </w:p>
        </w:tc>
        <w:tc>
          <w:tcPr>
            <w:tcW w:w="1145" w:type="pct"/>
            <w:vAlign w:val="center"/>
          </w:tcPr>
          <w:p>
            <w:pPr>
              <w:widowControl/>
              <w:spacing w:line="360" w:lineRule="auto"/>
              <w:jc w:val="left"/>
              <w:rPr>
                <w:rFonts w:ascii="宋体" w:hAnsi="宋体"/>
                <w:sz w:val="24"/>
                <w:highlight w:val="none"/>
              </w:rPr>
            </w:pP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numPr>
          <w:ilvl w:val="0"/>
          <w:numId w:val="5"/>
        </w:numPr>
        <w:spacing w:line="360" w:lineRule="auto"/>
        <w:jc w:val="center"/>
        <w:rPr>
          <w:highlight w:val="none"/>
        </w:rPr>
      </w:pPr>
      <w:r>
        <w:rPr>
          <w:highlight w:val="none"/>
        </w:rPr>
        <w:br w:type="page"/>
      </w:r>
    </w:p>
    <w:p>
      <w:pPr>
        <w:pStyle w:val="5"/>
        <w:spacing w:line="360" w:lineRule="auto"/>
        <w:rPr>
          <w:rFonts w:hint="default"/>
          <w:highlight w:val="none"/>
        </w:rPr>
      </w:pPr>
      <w:r>
        <w:rPr>
          <w:highlight w:val="none"/>
        </w:rPr>
        <w:t>2、服务分项报价表（若有）</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5668307"/>
    <w:multiLevelType w:val="singleLevel"/>
    <w:tmpl w:val="45668307"/>
    <w:lvl w:ilvl="0" w:tentative="0">
      <w:start w:val="5"/>
      <w:numFmt w:val="decimal"/>
      <w:lvlText w:val="%1."/>
      <w:lvlJc w:val="left"/>
      <w:pPr>
        <w:tabs>
          <w:tab w:val="left" w:pos="312"/>
        </w:tabs>
      </w:pPr>
    </w:lvl>
  </w:abstractNum>
  <w:abstractNum w:abstractNumId="4">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TBhZGI5OGQ4YWUzNDI4MjYxYjRmYzE3ZDdhYzYifQ=="/>
  </w:docVars>
  <w:rsids>
    <w:rsidRoot w:val="00000000"/>
    <w:rsid w:val="09A06EBC"/>
    <w:rsid w:val="0C126086"/>
    <w:rsid w:val="14000B07"/>
    <w:rsid w:val="15235970"/>
    <w:rsid w:val="191A53F6"/>
    <w:rsid w:val="1ADE3486"/>
    <w:rsid w:val="1E2C09AB"/>
    <w:rsid w:val="1E7B7C40"/>
    <w:rsid w:val="1E897F61"/>
    <w:rsid w:val="23C8685E"/>
    <w:rsid w:val="2778394C"/>
    <w:rsid w:val="27C42B43"/>
    <w:rsid w:val="2BB5293D"/>
    <w:rsid w:val="38AD2C56"/>
    <w:rsid w:val="3AB52C3C"/>
    <w:rsid w:val="3D6C7658"/>
    <w:rsid w:val="3DC2628F"/>
    <w:rsid w:val="489259CA"/>
    <w:rsid w:val="4CE2174D"/>
    <w:rsid w:val="4DB8035E"/>
    <w:rsid w:val="4E182762"/>
    <w:rsid w:val="51497716"/>
    <w:rsid w:val="522C2C59"/>
    <w:rsid w:val="572F491B"/>
    <w:rsid w:val="5B761B8D"/>
    <w:rsid w:val="641847D4"/>
    <w:rsid w:val="69E70454"/>
    <w:rsid w:val="74B308B5"/>
    <w:rsid w:val="75247769"/>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4"/>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7">
    <w:name w:val="样式3"/>
    <w:basedOn w:val="11"/>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页眉 Char"/>
    <w:basedOn w:val="22"/>
    <w:link w:val="15"/>
    <w:qFormat/>
    <w:uiPriority w:val="0"/>
    <w:rPr>
      <w:rFonts w:ascii="Calibri" w:hAnsi="Calibri"/>
      <w:kern w:val="2"/>
      <w:sz w:val="18"/>
      <w:szCs w:val="18"/>
    </w:rPr>
  </w:style>
  <w:style w:type="character" w:customStyle="1" w:styleId="34">
    <w:name w:val="批注框文本 Char"/>
    <w:basedOn w:val="22"/>
    <w:link w:val="13"/>
    <w:qFormat/>
    <w:uiPriority w:val="0"/>
    <w:rPr>
      <w:rFonts w:ascii="Calibri" w:hAnsi="Calibri"/>
      <w:kern w:val="2"/>
      <w:sz w:val="18"/>
      <w:szCs w:val="18"/>
    </w:rPr>
  </w:style>
  <w:style w:type="character" w:customStyle="1" w:styleId="35">
    <w:name w:val="font3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3</TotalTime>
  <ScaleCrop>false</ScaleCrop>
  <LinksUpToDate>false</LinksUpToDate>
  <CharactersWithSpaces>25333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FZ.主持人-田野</cp:lastModifiedBy>
  <dcterms:modified xsi:type="dcterms:W3CDTF">2023-12-22T11:53:26Z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ED818A52AF0E46B7A103598CB8D215DF_13</vt:lpwstr>
  </property>
</Properties>
</file>